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eastAsia="zh-CN"/>
        </w:rPr>
        <w:t>附件</w:t>
      </w:r>
      <w:r>
        <w:rPr>
          <w:rFonts w:hint="eastAsia" w:ascii="CESI仿宋-GB2312" w:hAnsi="CESI仿宋-GB2312" w:eastAsia="CESI仿宋-GB2312" w:cs="CESI仿宋-GB2312"/>
          <w:color w:val="auto"/>
          <w:sz w:val="32"/>
          <w:szCs w:val="32"/>
          <w:lang w:val="en-US" w:eastAsia="zh-CN"/>
        </w:rPr>
        <w:t>1：</w:t>
      </w:r>
    </w:p>
    <w:p>
      <w:pPr>
        <w:widowControl/>
        <w:jc w:val="center"/>
        <w:rPr>
          <w:rFonts w:ascii="黑体" w:hAnsi="黑体" w:eastAsia="黑体"/>
          <w:color w:val="auto"/>
          <w:sz w:val="44"/>
          <w:szCs w:val="44"/>
        </w:rPr>
      </w:pPr>
      <w:bookmarkStart w:id="0" w:name="_GoBack"/>
      <w:r>
        <w:rPr>
          <w:rFonts w:hint="eastAsia" w:ascii="黑体" w:hAnsi="黑体" w:eastAsia="黑体"/>
          <w:color w:val="auto"/>
          <w:sz w:val="44"/>
          <w:szCs w:val="44"/>
        </w:rPr>
        <w:t>2022年诸暨市国有资产经营有限公司下属子公司招聘计划表</w:t>
      </w:r>
    </w:p>
    <w:bookmarkEnd w:id="0"/>
    <w:p>
      <w:pPr>
        <w:widowControl/>
        <w:jc w:val="center"/>
        <w:rPr>
          <w:rFonts w:ascii="黑体" w:hAnsi="黑体" w:eastAsia="黑体"/>
          <w:color w:val="auto"/>
          <w:sz w:val="44"/>
          <w:szCs w:val="44"/>
        </w:rPr>
      </w:pPr>
    </w:p>
    <w:tbl>
      <w:tblPr>
        <w:tblStyle w:val="2"/>
        <w:tblW w:w="158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1277"/>
        <w:gridCol w:w="1984"/>
        <w:gridCol w:w="709"/>
        <w:gridCol w:w="850"/>
        <w:gridCol w:w="1560"/>
        <w:gridCol w:w="1417"/>
        <w:gridCol w:w="992"/>
        <w:gridCol w:w="63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auto"/>
                <w:kern w:val="0"/>
                <w:sz w:val="24"/>
              </w:rPr>
              <w:t>序号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auto"/>
                <w:kern w:val="0"/>
                <w:sz w:val="24"/>
              </w:rPr>
              <w:t>招聘单位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auto"/>
                <w:kern w:val="0"/>
                <w:sz w:val="24"/>
              </w:rPr>
              <w:t>招聘岗位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auto"/>
                <w:kern w:val="0"/>
                <w:sz w:val="24"/>
              </w:rPr>
              <w:t>人数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auto"/>
                <w:kern w:val="0"/>
                <w:sz w:val="24"/>
              </w:rPr>
              <w:t>性别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auto"/>
                <w:kern w:val="0"/>
                <w:sz w:val="24"/>
              </w:rPr>
              <w:t>专业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auto"/>
                <w:kern w:val="0"/>
                <w:sz w:val="24"/>
              </w:rPr>
              <w:t>学历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auto"/>
                <w:kern w:val="0"/>
                <w:sz w:val="24"/>
              </w:rPr>
              <w:t>年龄</w:t>
            </w:r>
          </w:p>
        </w:tc>
        <w:tc>
          <w:tcPr>
            <w:tcW w:w="6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auto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  <w:jc w:val="center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color w:val="auto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2"/>
              </w:rPr>
              <w:t>国投</w:t>
            </w:r>
          </w:p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color w:val="auto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2"/>
              </w:rPr>
              <w:t>公司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20" w:lineRule="atLeast"/>
              <w:jc w:val="center"/>
              <w:outlineLvl w:val="0"/>
              <w:rPr>
                <w:rFonts w:cs="宋体" w:asciiTheme="minorEastAsia" w:hAnsiTheme="minorEastAsia"/>
                <w:color w:val="auto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2"/>
              </w:rPr>
              <w:t>风险合规部</w:t>
            </w:r>
          </w:p>
          <w:p>
            <w:pPr>
              <w:widowControl/>
              <w:shd w:val="clear" w:color="auto" w:fill="FFFFFF"/>
              <w:spacing w:line="320" w:lineRule="atLeast"/>
              <w:jc w:val="center"/>
              <w:outlineLvl w:val="0"/>
              <w:rPr>
                <w:rFonts w:cs="宋体" w:asciiTheme="minorEastAsia" w:hAnsiTheme="minorEastAsia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（年薪：10-15万元）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spacing w:line="320" w:lineRule="atLeast"/>
              <w:jc w:val="center"/>
              <w:outlineLvl w:val="0"/>
              <w:rPr>
                <w:rFonts w:cs="宋体" w:asciiTheme="minorEastAsia" w:hAnsiTheme="minorEastAsia"/>
                <w:color w:val="auto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2"/>
              </w:rPr>
              <w:t>2人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spacing w:line="320" w:lineRule="atLeast"/>
              <w:jc w:val="center"/>
              <w:outlineLvl w:val="0"/>
              <w:rPr>
                <w:rFonts w:cs="宋体" w:asciiTheme="minorEastAsia" w:hAnsiTheme="minorEastAsia"/>
                <w:color w:val="auto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2"/>
              </w:rPr>
              <w:t>男女 不限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20" w:lineRule="atLeast"/>
              <w:jc w:val="center"/>
              <w:outlineLvl w:val="0"/>
              <w:rPr>
                <w:rFonts w:cs="宋体" w:asciiTheme="minorEastAsia" w:hAnsiTheme="minorEastAsia"/>
                <w:color w:val="auto"/>
                <w:kern w:val="0"/>
                <w:sz w:val="22"/>
              </w:rPr>
            </w:pPr>
            <w:r>
              <w:rPr>
                <w:rFonts w:cs="宋体" w:asciiTheme="minorEastAsia" w:hAnsiTheme="minorEastAsia"/>
                <w:color w:val="auto"/>
                <w:kern w:val="0"/>
                <w:sz w:val="22"/>
              </w:rPr>
              <w:t>金融、法律、会计等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2"/>
              </w:rPr>
              <w:t>专业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20" w:lineRule="atLeast"/>
              <w:jc w:val="center"/>
              <w:outlineLvl w:val="0"/>
              <w:rPr>
                <w:rFonts w:cs="宋体" w:asciiTheme="minorEastAsia" w:hAnsiTheme="minorEastAsia"/>
                <w:color w:val="auto"/>
                <w:kern w:val="0"/>
                <w:sz w:val="22"/>
              </w:rPr>
            </w:pPr>
            <w:r>
              <w:rPr>
                <w:rFonts w:cs="宋体" w:asciiTheme="minorEastAsia" w:hAnsiTheme="minorEastAsia"/>
                <w:color w:val="auto"/>
                <w:kern w:val="0"/>
                <w:sz w:val="22"/>
              </w:rPr>
              <w:t>全日制本科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2"/>
              </w:rPr>
              <w:t>及以上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20" w:lineRule="atLeast"/>
              <w:jc w:val="center"/>
              <w:outlineLvl w:val="0"/>
              <w:rPr>
                <w:rFonts w:cs="宋体" w:asciiTheme="minorEastAsia" w:hAnsiTheme="minorEastAsia"/>
                <w:color w:val="auto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2"/>
              </w:rPr>
              <w:t>40周岁以下</w:t>
            </w:r>
          </w:p>
        </w:tc>
        <w:tc>
          <w:tcPr>
            <w:tcW w:w="6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FFFFF"/>
              <w:spacing w:line="320" w:lineRule="atLeast"/>
              <w:jc w:val="left"/>
              <w:outlineLvl w:val="0"/>
              <w:rPr>
                <w:rFonts w:cs="宋体" w:asciiTheme="minorEastAsia" w:hAnsiTheme="minorEastAsia"/>
                <w:color w:val="auto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2"/>
              </w:rPr>
              <w:t>3</w:t>
            </w:r>
            <w:r>
              <w:rPr>
                <w:rFonts w:cs="宋体" w:asciiTheme="minorEastAsia" w:hAnsiTheme="minorEastAsia"/>
                <w:color w:val="auto"/>
                <w:kern w:val="0"/>
                <w:sz w:val="22"/>
              </w:rPr>
              <w:t>年以上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2"/>
              </w:rPr>
              <w:t>金融业相关</w:t>
            </w:r>
            <w:r>
              <w:rPr>
                <w:rFonts w:cs="宋体" w:asciiTheme="minorEastAsia" w:hAnsiTheme="minorEastAsia"/>
                <w:color w:val="auto"/>
                <w:kern w:val="0"/>
                <w:sz w:val="22"/>
              </w:rPr>
              <w:t>工作经验者；熟悉公司自营投资业务法律、法规及监管要求；具有良好的合规意识，具有较强的沟通协作、分析判断和表达能力，工作主动性、责任心强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2"/>
              </w:rPr>
              <w:t>，</w:t>
            </w:r>
            <w:r>
              <w:rPr>
                <w:rFonts w:cs="宋体" w:asciiTheme="minorEastAsia" w:hAnsiTheme="minorEastAsia"/>
                <w:color w:val="auto"/>
                <w:kern w:val="0"/>
                <w:sz w:val="22"/>
              </w:rPr>
              <w:t>取得法律职业证书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2"/>
              </w:rPr>
              <w:t>，条件优秀者可适当放宽。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color w:val="auto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2"/>
              </w:rPr>
              <w:t>国投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color w:val="auto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2"/>
              </w:rPr>
              <w:t>公司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auto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2"/>
              </w:rPr>
              <w:t>投后管理部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color w:val="auto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（年薪：10-15万元）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auto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2"/>
              </w:rPr>
              <w:t>1人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auto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2"/>
              </w:rPr>
              <w:t>男女 不限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cs="宋体" w:asciiTheme="minorEastAsia" w:hAnsiTheme="minorEastAsia"/>
                <w:color w:val="auto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2"/>
              </w:rPr>
              <w:t>经济、金融、财务、法律等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color w:val="auto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2"/>
              </w:rPr>
              <w:t>专业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auto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2"/>
              </w:rPr>
              <w:t>全日制本科及以上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auto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2"/>
              </w:rPr>
              <w:t>40周岁以下</w:t>
            </w:r>
          </w:p>
        </w:tc>
        <w:tc>
          <w:tcPr>
            <w:tcW w:w="6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auto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2"/>
              </w:rPr>
              <w:t>5年以上基金管理行业工作经验，熟悉国家相关法律法规政策，熟悉各类资本运作模式，熟悉私募股权风险投资基金运作的全过程，熟悉基金的投资、管理、运营与退出全流程，</w:t>
            </w:r>
            <w:r>
              <w:rPr>
                <w:rFonts w:cs="宋体" w:asciiTheme="minorEastAsia" w:hAnsiTheme="minorEastAsia"/>
                <w:color w:val="auto"/>
                <w:kern w:val="0"/>
                <w:sz w:val="22"/>
              </w:rPr>
              <w:t>取得法律职业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2"/>
              </w:rPr>
              <w:t>证书优先考虑,条件优秀者可适当放宽。</w:t>
            </w:r>
          </w:p>
        </w:tc>
      </w:tr>
    </w:tbl>
    <w:p>
      <w:pPr>
        <w:rPr>
          <w:rFonts w:ascii="仿宋" w:hAnsi="仿宋" w:eastAsia="仿宋" w:cs="仿宋"/>
          <w:color w:val="auto"/>
          <w:sz w:val="30"/>
          <w:szCs w:val="30"/>
        </w:rPr>
      </w:pPr>
    </w:p>
    <w:p>
      <w:pPr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ODM1NmRkMTY4ZDk3NzYyZmFiZjA1YzE5YTgwYTYifQ=="/>
  </w:docVars>
  <w:rsids>
    <w:rsidRoot w:val="02030258"/>
    <w:rsid w:val="0203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2022-08-29T08:23:00Z</dcterms:created>
  <dc:creator>藕荷旦旦</dc:creator>
  <cp:lastModifiedBy>藕荷旦旦</cp:lastModifiedBy>
  <dcterms:modified xsi:type="dcterms:W3CDTF">2022-08-29T08:23:49Z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606AFF63D3904EB2AD5545419AEEFF83</vt:lpwstr>
  </property>
</Properties>
</file>