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_GB2312"/>
          <w:color w:val="auto"/>
          <w:kern w:val="0"/>
          <w:sz w:val="30"/>
          <w:szCs w:val="30"/>
          <w:highlight w:val="none"/>
        </w:rPr>
      </w:pPr>
      <w:r>
        <w:rPr>
          <w:rFonts w:ascii="宋体" w:hAnsi="宋体" w:eastAsia="宋体" w:cs="宋体"/>
          <w:b/>
          <w:bCs/>
          <w:color w:val="FE0800"/>
          <w:spacing w:val="-58"/>
          <w:w w:val="91"/>
          <w:sz w:val="59"/>
          <w:szCs w:val="59"/>
          <w14:textFill>
            <w14:noFill/>
          </w14:textFill>
        </w:rPr>
        <w:t>兴杭绍</w:t>
      </w:r>
      <w:bookmarkStart w:id="0" w:name="_GoBack"/>
      <w:bookmarkEnd w:id="0"/>
      <w:r>
        <w:rPr>
          <w:rFonts w:hint="eastAsia" w:ascii="仿宋" w:hAnsi="仿宋" w:eastAsia="仿宋" w:cs="宋体"/>
          <w:b/>
          <w:bCs/>
          <w:color w:val="auto"/>
          <w:kern w:val="0"/>
          <w:sz w:val="32"/>
          <w:szCs w:val="32"/>
          <w:highlight w:val="none"/>
        </w:rPr>
        <w:t>浙江绍兴杭绍临空示范区开发集团有限公司派遣制（员额制）</w:t>
      </w:r>
      <w:r>
        <w:rPr>
          <w:rFonts w:hint="eastAsia" w:ascii="仿宋" w:hAnsi="仿宋" w:eastAsia="仿宋" w:cs="宋体"/>
          <w:b/>
          <w:bCs/>
          <w:color w:val="auto"/>
          <w:kern w:val="0"/>
          <w:sz w:val="32"/>
          <w:szCs w:val="32"/>
          <w:highlight w:val="none"/>
          <w:lang w:eastAsia="zh-CN"/>
        </w:rPr>
        <w:t>用工</w:t>
      </w:r>
      <w:r>
        <w:rPr>
          <w:rFonts w:hint="eastAsia" w:ascii="仿宋" w:hAnsi="仿宋" w:eastAsia="仿宋" w:cs="宋体"/>
          <w:b/>
          <w:bCs/>
          <w:color w:val="auto"/>
          <w:kern w:val="0"/>
          <w:sz w:val="32"/>
          <w:szCs w:val="32"/>
          <w:highlight w:val="none"/>
        </w:rPr>
        <w:t>招聘岗位表</w:t>
      </w:r>
    </w:p>
    <w:tbl>
      <w:tblPr>
        <w:tblStyle w:val="7"/>
        <w:tblpPr w:leftFromText="180" w:rightFromText="180" w:vertAnchor="text" w:horzAnchor="page" w:tblpX="1059" w:tblpY="615"/>
        <w:tblOverlap w:val="never"/>
        <w:tblW w:w="15195" w:type="dxa"/>
        <w:tblInd w:w="0" w:type="dxa"/>
        <w:tblLayout w:type="fixed"/>
        <w:tblCellMar>
          <w:top w:w="0" w:type="dxa"/>
          <w:left w:w="108" w:type="dxa"/>
          <w:bottom w:w="0" w:type="dxa"/>
          <w:right w:w="108" w:type="dxa"/>
        </w:tblCellMar>
      </w:tblPr>
      <w:tblGrid>
        <w:gridCol w:w="570"/>
        <w:gridCol w:w="967"/>
        <w:gridCol w:w="758"/>
        <w:gridCol w:w="750"/>
        <w:gridCol w:w="780"/>
        <w:gridCol w:w="4582"/>
        <w:gridCol w:w="698"/>
        <w:gridCol w:w="4980"/>
        <w:gridCol w:w="1110"/>
      </w:tblGrid>
      <w:tr>
        <w:tblPrEx>
          <w:tblCellMar>
            <w:top w:w="0" w:type="dxa"/>
            <w:left w:w="108" w:type="dxa"/>
            <w:bottom w:w="0" w:type="dxa"/>
            <w:right w:w="108" w:type="dxa"/>
          </w:tblCellMar>
        </w:tblPrEx>
        <w:trPr>
          <w:trHeight w:val="634" w:hRule="atLeast"/>
        </w:trPr>
        <w:tc>
          <w:tcPr>
            <w:tcW w:w="57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序号</w:t>
            </w:r>
          </w:p>
        </w:tc>
        <w:tc>
          <w:tcPr>
            <w:tcW w:w="96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岗位</w:t>
            </w:r>
          </w:p>
        </w:tc>
        <w:tc>
          <w:tcPr>
            <w:tcW w:w="7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所属部门</w:t>
            </w:r>
          </w:p>
        </w:tc>
        <w:tc>
          <w:tcPr>
            <w:tcW w:w="7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计划人数</w:t>
            </w:r>
          </w:p>
        </w:tc>
        <w:tc>
          <w:tcPr>
            <w:tcW w:w="78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学历</w:t>
            </w:r>
          </w:p>
        </w:tc>
        <w:tc>
          <w:tcPr>
            <w:tcW w:w="458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专业名称</w:t>
            </w:r>
          </w:p>
        </w:tc>
        <w:tc>
          <w:tcPr>
            <w:tcW w:w="69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年龄</w:t>
            </w:r>
          </w:p>
        </w:tc>
        <w:tc>
          <w:tcPr>
            <w:tcW w:w="498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资格条件</w:t>
            </w:r>
          </w:p>
        </w:tc>
        <w:tc>
          <w:tcPr>
            <w:tcW w:w="111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备注</w:t>
            </w:r>
          </w:p>
        </w:tc>
      </w:tr>
      <w:tr>
        <w:trPr>
          <w:trHeight w:val="320"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设计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管理</w:t>
            </w: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eastAsia="zh-CN"/>
              </w:rPr>
              <w:t>总师办</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bCs/>
                <w:color w:val="auto"/>
                <w:sz w:val="22"/>
                <w:szCs w:val="22"/>
                <w:highlight w:val="none"/>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b w:val="0"/>
                <w:bCs w:val="0"/>
                <w:color w:val="auto"/>
                <w:sz w:val="22"/>
                <w:szCs w:val="22"/>
                <w:lang w:val="en-US" w:eastAsia="zh-CN"/>
              </w:rPr>
              <w:t>全日制本科</w:t>
            </w:r>
            <w:r>
              <w:rPr>
                <w:rFonts w:hint="eastAsia" w:ascii="仿宋" w:hAnsi="仿宋" w:eastAsia="仿宋" w:cs="仿宋"/>
                <w:color w:val="auto"/>
                <w:kern w:val="0"/>
                <w:sz w:val="22"/>
                <w:szCs w:val="22"/>
                <w:highlight w:val="none"/>
              </w:rPr>
              <w:t>及以上</w:t>
            </w:r>
          </w:p>
        </w:tc>
        <w:tc>
          <w:tcPr>
            <w:tcW w:w="4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color w:val="auto"/>
                <w:sz w:val="22"/>
                <w:szCs w:val="22"/>
                <w:highlight w:val="none"/>
              </w:rPr>
            </w:pPr>
            <w:r>
              <w:rPr>
                <w:rFonts w:hint="eastAsia" w:ascii="仿宋" w:hAnsi="仿宋" w:eastAsia="仿宋" w:cs="仿宋"/>
                <w:bCs/>
                <w:kern w:val="2"/>
                <w:sz w:val="22"/>
                <w:szCs w:val="22"/>
                <w:lang w:val="en-US" w:eastAsia="zh-CN" w:bidi="ar"/>
              </w:rPr>
              <w:t>市政工程、土木工程、工程管理、建设工程管理</w:t>
            </w:r>
            <w:r>
              <w:rPr>
                <w:rFonts w:hint="eastAsia" w:ascii="仿宋" w:hAnsi="仿宋" w:eastAsia="仿宋" w:cs="仿宋"/>
                <w:bCs/>
                <w:kern w:val="2"/>
                <w:sz w:val="22"/>
                <w:szCs w:val="22"/>
                <w:highlight w:val="none"/>
                <w:lang w:val="en-US" w:eastAsia="zh-CN" w:bidi="ar"/>
              </w:rPr>
              <w:t>、城市规划与设计、风景园林规划与设计、城市规划、</w:t>
            </w:r>
            <w:r>
              <w:rPr>
                <w:rFonts w:hint="eastAsia" w:ascii="仿宋" w:hAnsi="仿宋" w:eastAsia="仿宋" w:cs="仿宋"/>
                <w:b w:val="0"/>
                <w:bCs w:val="0"/>
                <w:color w:val="auto"/>
                <w:kern w:val="0"/>
                <w:sz w:val="22"/>
                <w:szCs w:val="22"/>
                <w:highlight w:val="none"/>
                <w:lang w:eastAsia="zh-CN"/>
              </w:rPr>
              <w:t>环境设计、景观设计、</w:t>
            </w:r>
            <w:r>
              <w:rPr>
                <w:rFonts w:hint="eastAsia" w:ascii="仿宋" w:hAnsi="仿宋" w:eastAsia="仿宋" w:cs="仿宋"/>
                <w:bCs/>
                <w:kern w:val="2"/>
                <w:sz w:val="22"/>
                <w:szCs w:val="22"/>
                <w:highlight w:val="none"/>
                <w:lang w:val="en-US" w:eastAsia="zh-CN" w:bidi="ar"/>
              </w:rPr>
              <w:t>城市与区域规划、环境艺术设计、建筑与城乡规划设计专业</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kern w:val="0"/>
                <w:sz w:val="22"/>
                <w:szCs w:val="22"/>
                <w:highlight w:val="none"/>
              </w:rPr>
              <w:t>40周岁及以下</w:t>
            </w:r>
          </w:p>
        </w:tc>
        <w:tc>
          <w:tcPr>
            <w:tcW w:w="4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sz w:val="22"/>
                <w:szCs w:val="22"/>
                <w:lang w:val="en-US" w:eastAsia="zh-CN"/>
              </w:rPr>
            </w:pPr>
            <w:r>
              <w:rPr>
                <w:rFonts w:hint="eastAsia" w:ascii="仿宋" w:hAnsi="仿宋" w:eastAsia="仿宋" w:cs="仿宋"/>
                <w:color w:val="auto"/>
                <w:sz w:val="22"/>
                <w:szCs w:val="22"/>
                <w:highlight w:val="none"/>
                <w:lang w:val="en-US" w:eastAsia="zh-CN"/>
              </w:rPr>
              <w:t>同等分数下具有工程类中级及以上职称或985、211学校全日制本科毕业的优先。</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rPr>
                <w:rFonts w:hint="eastAsia" w:ascii="仿宋" w:hAnsi="仿宋" w:eastAsia="仿宋" w:cs="仿宋"/>
                <w:sz w:val="22"/>
                <w:szCs w:val="22"/>
                <w:lang w:val="en-US" w:eastAsia="zh-CN"/>
              </w:rPr>
            </w:pPr>
            <w:r>
              <w:rPr>
                <w:rFonts w:hint="eastAsia" w:ascii="仿宋" w:hAnsi="仿宋" w:eastAsia="仿宋" w:cs="仿宋"/>
                <w:b w:val="0"/>
                <w:bCs w:val="0"/>
                <w:color w:val="auto"/>
                <w:kern w:val="0"/>
                <w:sz w:val="22"/>
                <w:szCs w:val="22"/>
                <w:highlight w:val="none"/>
                <w:lang w:val="en-US" w:eastAsia="zh-CN" w:bidi="ar-SA"/>
              </w:rPr>
              <w:t>2.2024年应届全日制本科毕业生可以报考，但须于2024年7月前取得相应的学历学位证书。</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color w:val="auto"/>
                <w:kern w:val="0"/>
                <w:sz w:val="22"/>
                <w:szCs w:val="22"/>
                <w:highlight w:val="none"/>
                <w:lang w:eastAsia="zh-CN"/>
              </w:rPr>
            </w:pPr>
            <w:r>
              <w:rPr>
                <w:rFonts w:hint="eastAsia" w:ascii="仿宋" w:hAnsi="仿宋" w:eastAsia="仿宋" w:cs="仿宋"/>
                <w:b w:val="0"/>
                <w:bCs w:val="0"/>
                <w:color w:val="auto"/>
                <w:kern w:val="0"/>
                <w:sz w:val="22"/>
                <w:szCs w:val="22"/>
                <w:highlight w:val="none"/>
                <w:lang w:val="en-US" w:eastAsia="zh-CN" w:bidi="ar-SA"/>
              </w:rPr>
              <w:t>需提供岗位工作证明（应届生除外）</w:t>
            </w:r>
          </w:p>
        </w:tc>
      </w:tr>
      <w:tr>
        <w:tblPrEx>
          <w:tblCellMar>
            <w:top w:w="0" w:type="dxa"/>
            <w:left w:w="108" w:type="dxa"/>
            <w:bottom w:w="0" w:type="dxa"/>
            <w:right w:w="108" w:type="dxa"/>
          </w:tblCellMar>
        </w:tblPrEx>
        <w:trPr>
          <w:trHeight w:val="1677"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center"/>
              <w:textAlignment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w:t>
            </w: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造价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eastAsia="zh-CN"/>
              </w:rPr>
              <w:t>管理</w:t>
            </w:r>
          </w:p>
        </w:tc>
        <w:tc>
          <w:tcPr>
            <w:tcW w:w="75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2"/>
                <w:szCs w:val="2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2"/>
                <w:szCs w:val="2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2"/>
                <w:szCs w:val="2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2"/>
                <w:szCs w:val="2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审计管理部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2"/>
                <w:szCs w:val="22"/>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2"/>
                <w:szCs w:val="22"/>
                <w:highlight w:val="none"/>
              </w:rPr>
            </w:pPr>
            <w:r>
              <w:rPr>
                <w:rFonts w:hint="eastAsia" w:ascii="仿宋" w:hAnsi="仿宋" w:eastAsia="仿宋" w:cs="仿宋"/>
                <w:b w:val="0"/>
                <w:bCs w:val="0"/>
                <w:color w:val="auto"/>
                <w:sz w:val="22"/>
                <w:szCs w:val="22"/>
                <w:highlight w:val="none"/>
                <w:lang w:val="en-US" w:eastAsia="zh-CN"/>
              </w:rPr>
              <w:t>全日制本科</w:t>
            </w:r>
            <w:r>
              <w:rPr>
                <w:rFonts w:hint="eastAsia" w:ascii="仿宋" w:hAnsi="仿宋" w:eastAsia="仿宋" w:cs="仿宋"/>
                <w:color w:val="auto"/>
                <w:kern w:val="0"/>
                <w:sz w:val="22"/>
                <w:szCs w:val="22"/>
                <w:highlight w:val="none"/>
              </w:rPr>
              <w:t>及以上</w:t>
            </w:r>
          </w:p>
        </w:tc>
        <w:tc>
          <w:tcPr>
            <w:tcW w:w="4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kern w:val="0"/>
                <w:sz w:val="22"/>
                <w:szCs w:val="22"/>
                <w:highlight w:val="none"/>
              </w:rPr>
              <w:t>土木工程、工民建、建筑工程、道路与桥梁工程、交通土建工程、市政工程、交通工程、工程管理、建设工程管理、管理工程、房地产开发与管理、房地产经营管理、工程造价、工程造价管理、管理科学与工程</w:t>
            </w: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法学、法律专业</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color w:val="auto"/>
                <w:sz w:val="22"/>
                <w:szCs w:val="22"/>
                <w:highlight w:val="none"/>
                <w:lang w:val="en-US" w:eastAsia="zh-CN"/>
              </w:rPr>
            </w:pPr>
            <w:r>
              <w:rPr>
                <w:rFonts w:hint="eastAsia" w:ascii="仿宋" w:hAnsi="仿宋" w:eastAsia="仿宋" w:cs="仿宋"/>
                <w:color w:val="auto"/>
                <w:kern w:val="0"/>
                <w:sz w:val="22"/>
                <w:szCs w:val="22"/>
                <w:highlight w:val="none"/>
              </w:rPr>
              <w:t>40周岁及以下</w:t>
            </w:r>
          </w:p>
        </w:tc>
        <w:tc>
          <w:tcPr>
            <w:tcW w:w="4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N/>
              <w:bidi w:val="0"/>
              <w:adjustRightInd/>
              <w:snapToGrid/>
              <w:spacing w:line="240" w:lineRule="exact"/>
              <w:jc w:val="left"/>
              <w:textAlignment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color w:val="auto"/>
                <w:sz w:val="22"/>
                <w:szCs w:val="22"/>
                <w:highlight w:val="none"/>
                <w:lang w:val="en-US" w:eastAsia="zh-CN"/>
              </w:rPr>
              <w:t>1</w:t>
            </w:r>
            <w:r>
              <w:rPr>
                <w:rFonts w:hint="eastAsia" w:ascii="仿宋" w:hAnsi="仿宋" w:eastAsia="仿宋" w:cs="仿宋"/>
                <w:b w:val="0"/>
                <w:bCs w:val="0"/>
                <w:color w:val="auto"/>
                <w:kern w:val="0"/>
                <w:sz w:val="22"/>
                <w:szCs w:val="22"/>
                <w:highlight w:val="none"/>
                <w:lang w:val="en-US" w:eastAsia="zh-CN" w:bidi="ar-SA"/>
              </w:rPr>
              <w:t>.具有</w:t>
            </w:r>
            <w:r>
              <w:rPr>
                <w:rFonts w:hint="eastAsia" w:ascii="仿宋" w:hAnsi="仿宋" w:eastAsia="仿宋" w:cs="仿宋"/>
                <w:color w:val="auto"/>
                <w:sz w:val="22"/>
                <w:szCs w:val="22"/>
                <w:highlight w:val="none"/>
                <w:lang w:val="en-US" w:eastAsia="zh-CN"/>
              </w:rPr>
              <w:t>3年以上造价咨询中介机构、国有企业或者房地产公司造价管理工作经验并具有二级及以上造价工程师证书。</w:t>
            </w:r>
            <w:r>
              <w:rPr>
                <w:rFonts w:hint="eastAsia" w:ascii="仿宋" w:hAnsi="仿宋" w:eastAsia="仿宋" w:cs="仿宋"/>
                <w:color w:val="auto"/>
                <w:sz w:val="22"/>
                <w:szCs w:val="22"/>
                <w:highlight w:val="none"/>
                <w:lang w:val="en-US" w:eastAsia="zh-CN"/>
              </w:rPr>
              <w:br w:type="textWrapping"/>
            </w:r>
            <w:r>
              <w:rPr>
                <w:rFonts w:hint="eastAsia" w:ascii="仿宋" w:hAnsi="仿宋" w:eastAsia="仿宋" w:cs="仿宋"/>
                <w:color w:val="auto"/>
                <w:sz w:val="22"/>
                <w:szCs w:val="22"/>
                <w:highlight w:val="none"/>
                <w:lang w:val="en-US" w:eastAsia="zh-CN"/>
              </w:rPr>
              <w:t>2</w:t>
            </w:r>
            <w:r>
              <w:rPr>
                <w:rFonts w:hint="eastAsia" w:ascii="仿宋" w:hAnsi="仿宋" w:eastAsia="仿宋" w:cs="仿宋"/>
                <w:b w:val="0"/>
                <w:bCs w:val="0"/>
                <w:color w:val="auto"/>
                <w:kern w:val="0"/>
                <w:sz w:val="22"/>
                <w:szCs w:val="22"/>
                <w:highlight w:val="none"/>
                <w:lang w:val="en-US" w:eastAsia="zh-CN" w:bidi="ar-SA"/>
              </w:rPr>
              <w:t>.同等分数下985、211学校全日制本科毕业的优先。</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需提供岗位工作证明</w:t>
            </w:r>
          </w:p>
        </w:tc>
      </w:tr>
      <w:tr>
        <w:tblPrEx>
          <w:tblCellMar>
            <w:top w:w="0" w:type="dxa"/>
            <w:left w:w="108" w:type="dxa"/>
            <w:bottom w:w="0" w:type="dxa"/>
            <w:right w:w="108" w:type="dxa"/>
          </w:tblCellMar>
        </w:tblPrEx>
        <w:trPr>
          <w:trHeight w:val="1155"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center"/>
              <w:textAlignment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i w:val="0"/>
                <w:iCs w:val="0"/>
                <w:caps w:val="0"/>
                <w:color w:val="000000"/>
                <w:spacing w:val="0"/>
                <w:sz w:val="22"/>
                <w:szCs w:val="22"/>
                <w:highlight w:val="none"/>
                <w:shd w:val="clear" w:fill="FFFFFF"/>
              </w:rPr>
            </w:pPr>
            <w:r>
              <w:rPr>
                <w:rFonts w:hint="eastAsia" w:ascii="仿宋" w:hAnsi="仿宋" w:eastAsia="仿宋" w:cs="仿宋"/>
                <w:i w:val="0"/>
                <w:iCs w:val="0"/>
                <w:caps w:val="0"/>
                <w:color w:val="000000"/>
                <w:spacing w:val="0"/>
                <w:sz w:val="22"/>
                <w:szCs w:val="22"/>
                <w:highlight w:val="none"/>
                <w:shd w:val="clear" w:fill="FFFFFF"/>
                <w:lang w:val="en-US" w:eastAsia="zh-CN"/>
              </w:rPr>
              <w:t>内部审计管理</w:t>
            </w:r>
          </w:p>
        </w:tc>
        <w:tc>
          <w:tcPr>
            <w:tcW w:w="758"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2"/>
                <w:szCs w:val="22"/>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全日制本科</w:t>
            </w:r>
            <w:r>
              <w:rPr>
                <w:rFonts w:hint="eastAsia" w:ascii="仿宋" w:hAnsi="仿宋" w:eastAsia="仿宋" w:cs="仿宋"/>
                <w:color w:val="auto"/>
                <w:kern w:val="0"/>
                <w:sz w:val="22"/>
                <w:szCs w:val="22"/>
                <w:highlight w:val="none"/>
              </w:rPr>
              <w:t>及以上</w:t>
            </w:r>
          </w:p>
        </w:tc>
        <w:tc>
          <w:tcPr>
            <w:tcW w:w="4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法学、法律专业</w:t>
            </w:r>
            <w:r>
              <w:rPr>
                <w:rFonts w:hint="eastAsia" w:ascii="仿宋" w:hAnsi="仿宋" w:eastAsia="仿宋" w:cs="仿宋"/>
                <w:color w:val="auto"/>
                <w:kern w:val="0"/>
                <w:sz w:val="22"/>
                <w:szCs w:val="22"/>
                <w:highlight w:val="none"/>
                <w:lang w:eastAsia="zh-CN"/>
              </w:rPr>
              <w:t>、会计、会计学、大数据与会计、财务管理、大数据与财务管理、审计学、统计学、</w:t>
            </w:r>
            <w:r>
              <w:rPr>
                <w:rFonts w:hint="eastAsia" w:ascii="仿宋" w:hAnsi="仿宋" w:eastAsia="仿宋" w:cs="仿宋"/>
                <w:b w:val="0"/>
                <w:bCs w:val="0"/>
                <w:color w:val="auto"/>
                <w:kern w:val="0"/>
                <w:sz w:val="22"/>
                <w:szCs w:val="22"/>
                <w:highlight w:val="none"/>
                <w:lang w:val="en-US" w:eastAsia="zh-CN" w:bidi="ar-SA"/>
              </w:rPr>
              <w:t>金融、金融学、经济学</w:t>
            </w:r>
            <w:r>
              <w:rPr>
                <w:rFonts w:hint="eastAsia" w:ascii="仿宋" w:hAnsi="仿宋" w:eastAsia="仿宋" w:cs="仿宋"/>
                <w:color w:val="auto"/>
                <w:kern w:val="0"/>
                <w:sz w:val="22"/>
                <w:szCs w:val="22"/>
                <w:highlight w:val="none"/>
                <w:lang w:eastAsia="zh-CN"/>
              </w:rPr>
              <w:t>专业</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40周岁及以下</w:t>
            </w:r>
          </w:p>
        </w:tc>
        <w:tc>
          <w:tcPr>
            <w:tcW w:w="4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2"/>
              </w:numPr>
              <w:kinsoku/>
              <w:wordWrap/>
              <w:overflowPunct/>
              <w:topLinePunct w:val="0"/>
              <w:autoSpaceDE/>
              <w:autoSpaceDN/>
              <w:bidi w:val="0"/>
              <w:adjustRightInd/>
              <w:snapToGrid/>
              <w:spacing w:line="240" w:lineRule="exact"/>
              <w:jc w:val="left"/>
              <w:rPr>
                <w:rFonts w:hint="eastAsia" w:ascii="仿宋" w:hAnsi="仿宋" w:eastAsia="仿宋" w:cs="仿宋"/>
                <w:color w:val="auto"/>
                <w:sz w:val="22"/>
                <w:szCs w:val="22"/>
                <w:highlight w:val="none"/>
                <w:lang w:val="en-US" w:eastAsia="zh-CN"/>
              </w:rPr>
            </w:pPr>
            <w:r>
              <w:rPr>
                <w:rFonts w:hint="eastAsia" w:ascii="仿宋" w:hAnsi="仿宋" w:eastAsia="仿宋" w:cs="仿宋"/>
                <w:b w:val="0"/>
                <w:bCs w:val="0"/>
                <w:color w:val="auto"/>
                <w:kern w:val="0"/>
                <w:sz w:val="22"/>
                <w:szCs w:val="22"/>
                <w:highlight w:val="none"/>
                <w:lang w:val="en-US" w:eastAsia="zh-CN" w:bidi="ar-SA"/>
              </w:rPr>
              <w:t>具有3</w:t>
            </w:r>
            <w:r>
              <w:rPr>
                <w:rFonts w:hint="eastAsia" w:ascii="仿宋" w:hAnsi="仿宋" w:eastAsia="仿宋" w:cs="仿宋"/>
                <w:color w:val="auto"/>
                <w:sz w:val="22"/>
                <w:szCs w:val="22"/>
                <w:highlight w:val="none"/>
                <w:lang w:val="en-US" w:eastAsia="zh-CN"/>
              </w:rPr>
              <w:t>年以上会计师事务所、国有企业或者房地产公司审计类工作经验。</w:t>
            </w:r>
          </w:p>
          <w:p>
            <w:pPr>
              <w:keepNext w:val="0"/>
              <w:keepLines w:val="0"/>
              <w:pageBreakBefore w:val="0"/>
              <w:widowControl/>
              <w:numPr>
                <w:ilvl w:val="0"/>
                <w:numId w:val="2"/>
              </w:numPr>
              <w:kinsoku/>
              <w:wordWrap/>
              <w:overflowPunct/>
              <w:topLinePunct w:val="0"/>
              <w:autoSpaceDE/>
              <w:autoSpaceDN/>
              <w:bidi w:val="0"/>
              <w:adjustRightInd/>
              <w:snapToGrid/>
              <w:spacing w:line="240" w:lineRule="exact"/>
              <w:jc w:val="lef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具有会计师或审计师职称。</w:t>
            </w:r>
          </w:p>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both"/>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3、同等分数下985、211学校全日制本科毕业的优先。</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both"/>
              <w:textAlignment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需提供岗位工作证明</w:t>
            </w:r>
          </w:p>
        </w:tc>
      </w:tr>
      <w:tr>
        <w:tblPrEx>
          <w:tblCellMar>
            <w:top w:w="0" w:type="dxa"/>
            <w:left w:w="108" w:type="dxa"/>
            <w:bottom w:w="0" w:type="dxa"/>
            <w:right w:w="108" w:type="dxa"/>
          </w:tblCellMar>
        </w:tblPrEx>
        <w:trPr>
          <w:trHeight w:val="90"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center"/>
              <w:textAlignment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4</w:t>
            </w: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i w:val="0"/>
                <w:iCs w:val="0"/>
                <w:caps w:val="0"/>
                <w:color w:val="000000"/>
                <w:spacing w:val="0"/>
                <w:sz w:val="22"/>
                <w:szCs w:val="22"/>
                <w:highlight w:val="none"/>
                <w:shd w:val="clear" w:fill="FFFFFF"/>
              </w:rPr>
              <w:t>招投标管理</w:t>
            </w:r>
          </w:p>
        </w:tc>
        <w:tc>
          <w:tcPr>
            <w:tcW w:w="75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2"/>
                <w:szCs w:val="22"/>
                <w:highlight w:val="none"/>
                <w:lang w:val="en-US" w:eastAsia="zh-CN" w:bidi="ar-SA"/>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2"/>
                <w:szCs w:val="22"/>
                <w:highlight w:val="none"/>
              </w:rPr>
            </w:pPr>
            <w:r>
              <w:rPr>
                <w:rFonts w:hint="eastAsia" w:ascii="仿宋" w:hAnsi="仿宋" w:eastAsia="仿宋" w:cs="仿宋"/>
                <w:b w:val="0"/>
                <w:bCs w:val="0"/>
                <w:color w:val="auto"/>
                <w:sz w:val="22"/>
                <w:szCs w:val="22"/>
                <w:highlight w:val="none"/>
                <w:lang w:val="en-US" w:eastAsia="zh-CN"/>
              </w:rPr>
              <w:t>全日制本科</w:t>
            </w:r>
            <w:r>
              <w:rPr>
                <w:rFonts w:hint="eastAsia" w:ascii="仿宋" w:hAnsi="仿宋" w:eastAsia="仿宋" w:cs="仿宋"/>
                <w:color w:val="auto"/>
                <w:kern w:val="0"/>
                <w:sz w:val="22"/>
                <w:szCs w:val="22"/>
                <w:highlight w:val="none"/>
              </w:rPr>
              <w:t>及以上</w:t>
            </w:r>
          </w:p>
        </w:tc>
        <w:tc>
          <w:tcPr>
            <w:tcW w:w="4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kern w:val="0"/>
                <w:sz w:val="22"/>
                <w:szCs w:val="22"/>
                <w:highlight w:val="none"/>
              </w:rPr>
              <w:t>土木工程、工民建、建筑工程、道路与桥梁工程、交通土建工程、市政工程、交通工程、工程管理、建设工程管理、管理工程、房地产开发与管理、房地产经营管理、工程造价、工程造价管理、管理科学与工程</w:t>
            </w: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法学、法律专业</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Cs/>
                <w:color w:val="auto"/>
                <w:sz w:val="22"/>
                <w:szCs w:val="22"/>
                <w:highlight w:val="none"/>
                <w:lang w:val="en-US" w:eastAsia="zh-CN"/>
              </w:rPr>
            </w:pPr>
            <w:r>
              <w:rPr>
                <w:rFonts w:hint="eastAsia" w:ascii="仿宋" w:hAnsi="仿宋" w:eastAsia="仿宋" w:cs="仿宋"/>
                <w:color w:val="auto"/>
                <w:kern w:val="0"/>
                <w:sz w:val="22"/>
                <w:szCs w:val="22"/>
                <w:highlight w:val="none"/>
              </w:rPr>
              <w:t>40周岁及以下</w:t>
            </w:r>
          </w:p>
        </w:tc>
        <w:tc>
          <w:tcPr>
            <w:tcW w:w="4980"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240" w:lineRule="exact"/>
              <w:ind w:left="0" w:right="0" w:firstLine="0"/>
              <w:jc w:val="left"/>
              <w:textAlignment w:val="baseline"/>
              <w:rPr>
                <w:rFonts w:hint="eastAsia" w:ascii="仿宋" w:hAnsi="仿宋" w:eastAsia="仿宋" w:cs="仿宋"/>
                <w:i w:val="0"/>
                <w:iCs w:val="0"/>
                <w:caps w:val="0"/>
                <w:color w:val="000000"/>
                <w:spacing w:val="0"/>
                <w:sz w:val="22"/>
                <w:szCs w:val="22"/>
                <w:highlight w:val="none"/>
                <w:lang w:eastAsia="zh-CN"/>
              </w:rPr>
            </w:pPr>
            <w:r>
              <w:rPr>
                <w:rFonts w:hint="eastAsia" w:ascii="仿宋" w:hAnsi="仿宋" w:eastAsia="仿宋" w:cs="仿宋"/>
                <w:b w:val="0"/>
                <w:bCs w:val="0"/>
                <w:i w:val="0"/>
                <w:iCs w:val="0"/>
                <w:caps w:val="0"/>
                <w:color w:val="000000"/>
                <w:spacing w:val="0"/>
                <w:sz w:val="22"/>
                <w:szCs w:val="22"/>
                <w:highlight w:val="none"/>
                <w:shd w:val="clear" w:fill="FFFFFF"/>
                <w:vertAlign w:val="baseline"/>
              </w:rPr>
              <w:t>1.具有2年以上招标代理中介机构、国有企事业单位、房地产企业、建设单位招标管理工作经验学历</w:t>
            </w:r>
            <w:r>
              <w:rPr>
                <w:rFonts w:hint="eastAsia" w:ascii="仿宋" w:hAnsi="仿宋" w:eastAsia="仿宋" w:cs="仿宋"/>
                <w:b w:val="0"/>
                <w:bCs w:val="0"/>
                <w:i w:val="0"/>
                <w:iCs w:val="0"/>
                <w:caps w:val="0"/>
                <w:color w:val="000000"/>
                <w:spacing w:val="0"/>
                <w:sz w:val="22"/>
                <w:szCs w:val="22"/>
                <w:highlight w:val="none"/>
                <w:shd w:val="clear" w:fill="FFFFFF"/>
                <w:vertAlign w:val="baseline"/>
                <w:lang w:eastAsia="zh-CN"/>
              </w:rPr>
              <w:t>可</w:t>
            </w:r>
            <w:r>
              <w:rPr>
                <w:rFonts w:hint="eastAsia" w:ascii="仿宋" w:hAnsi="仿宋" w:eastAsia="仿宋" w:cs="仿宋"/>
                <w:b w:val="0"/>
                <w:bCs w:val="0"/>
                <w:i w:val="0"/>
                <w:iCs w:val="0"/>
                <w:caps w:val="0"/>
                <w:color w:val="000000"/>
                <w:spacing w:val="0"/>
                <w:sz w:val="22"/>
                <w:szCs w:val="22"/>
                <w:highlight w:val="none"/>
                <w:shd w:val="clear" w:fill="FFFFFF"/>
                <w:vertAlign w:val="baseline"/>
              </w:rPr>
              <w:t>放宽至非全日制本科</w:t>
            </w:r>
            <w:r>
              <w:rPr>
                <w:rFonts w:hint="eastAsia" w:ascii="仿宋" w:hAnsi="仿宋" w:eastAsia="仿宋" w:cs="仿宋"/>
                <w:b w:val="0"/>
                <w:bCs w:val="0"/>
                <w:i w:val="0"/>
                <w:iCs w:val="0"/>
                <w:caps w:val="0"/>
                <w:color w:val="000000"/>
                <w:spacing w:val="0"/>
                <w:sz w:val="22"/>
                <w:szCs w:val="22"/>
                <w:highlight w:val="none"/>
                <w:shd w:val="clear" w:fill="FFFFFF"/>
                <w:vertAlign w:val="baseli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240" w:lineRule="exact"/>
              <w:ind w:left="0" w:right="0" w:firstLine="0"/>
              <w:jc w:val="left"/>
              <w:textAlignment w:val="baseline"/>
              <w:rPr>
                <w:rFonts w:hint="eastAsia" w:ascii="仿宋" w:hAnsi="仿宋" w:eastAsia="仿宋" w:cs="仿宋"/>
                <w:b w:val="0"/>
                <w:bCs w:val="0"/>
                <w:i w:val="0"/>
                <w:iCs w:val="0"/>
                <w:caps w:val="0"/>
                <w:color w:val="000000"/>
                <w:spacing w:val="0"/>
                <w:sz w:val="22"/>
                <w:szCs w:val="22"/>
                <w:highlight w:val="none"/>
                <w:shd w:val="clear" w:fill="FFFFFF"/>
                <w:vertAlign w:val="baseline"/>
              </w:rPr>
            </w:pPr>
            <w:r>
              <w:rPr>
                <w:rFonts w:hint="eastAsia" w:ascii="仿宋" w:hAnsi="仿宋" w:eastAsia="仿宋" w:cs="仿宋"/>
                <w:b w:val="0"/>
                <w:bCs w:val="0"/>
                <w:i w:val="0"/>
                <w:iCs w:val="0"/>
                <w:caps w:val="0"/>
                <w:color w:val="000000"/>
                <w:spacing w:val="0"/>
                <w:sz w:val="22"/>
                <w:szCs w:val="22"/>
                <w:highlight w:val="none"/>
                <w:shd w:val="clear" w:fill="FFFFFF"/>
                <w:vertAlign w:val="baseline"/>
              </w:rPr>
              <w:t>2.同等分数下985、211学校全日制本科毕业的优先。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240" w:lineRule="exact"/>
              <w:ind w:left="0" w:right="0" w:firstLine="0"/>
              <w:jc w:val="left"/>
              <w:textAlignment w:val="baseline"/>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3.2024年应届全日制本科毕业生可以报考，但须于2024年7月前取得相应的学历学位证书。</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snapToGrid/>
              <w:spacing w:line="240" w:lineRule="exact"/>
              <w:jc w:val="left"/>
              <w:textAlignment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需提供岗位工作证明（应届生除外）</w:t>
            </w:r>
          </w:p>
        </w:tc>
      </w:tr>
      <w:tr>
        <w:tblPrEx>
          <w:tblCellMar>
            <w:top w:w="0" w:type="dxa"/>
            <w:left w:w="108" w:type="dxa"/>
            <w:bottom w:w="0" w:type="dxa"/>
            <w:right w:w="108" w:type="dxa"/>
          </w:tblCellMar>
        </w:tblPrEx>
        <w:trPr>
          <w:trHeight w:val="1383"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5</w:t>
            </w:r>
          </w:p>
        </w:tc>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管线</w:t>
            </w:r>
          </w:p>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迁改</w:t>
            </w:r>
          </w:p>
        </w:tc>
        <w:tc>
          <w:tcPr>
            <w:tcW w:w="7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集团及下属子公司</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2</w:t>
            </w:r>
          </w:p>
        </w:tc>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eastAsia="zh-CN"/>
              </w:rPr>
              <w:t>全日制</w:t>
            </w:r>
            <w:r>
              <w:rPr>
                <w:rFonts w:hint="eastAsia" w:ascii="仿宋" w:hAnsi="仿宋" w:eastAsia="仿宋" w:cs="仿宋"/>
                <w:color w:val="auto"/>
                <w:kern w:val="0"/>
                <w:sz w:val="22"/>
                <w:szCs w:val="22"/>
                <w:highlight w:val="none"/>
              </w:rPr>
              <w:t>本科及以上</w:t>
            </w:r>
          </w:p>
        </w:tc>
        <w:tc>
          <w:tcPr>
            <w:tcW w:w="4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color w:val="auto"/>
                <w:sz w:val="22"/>
                <w:szCs w:val="22"/>
                <w:highlight w:val="none"/>
                <w:lang w:eastAsia="zh-CN"/>
              </w:rPr>
              <w:t>给排水工程、电力工程与管理、电力工程及自动化、市政工程、土木工程、工程管理、建筑学、工程造价、工民建、建筑工程、交通土建工程、交通工程、道路与桥梁工程、建设工程管理、管理工程、</w:t>
            </w:r>
            <w:r>
              <w:rPr>
                <w:rFonts w:hint="eastAsia" w:ascii="仿宋" w:hAnsi="仿宋" w:eastAsia="仿宋" w:cs="仿宋"/>
                <w:snapToGrid/>
                <w:color w:val="auto"/>
                <w:kern w:val="0"/>
                <w:sz w:val="22"/>
                <w:szCs w:val="22"/>
                <w:highlight w:val="none"/>
                <w:lang w:val="en-US" w:eastAsia="zh-CN" w:bidi="ar-SA"/>
              </w:rPr>
              <w:t>电子信息工程、电子信息工程技术、电子科学与技术、计算机通信工程专业</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Cs/>
                <w:color w:val="auto"/>
                <w:sz w:val="22"/>
                <w:szCs w:val="22"/>
                <w:highlight w:val="none"/>
                <w:lang w:val="en-US" w:eastAsia="zh-CN"/>
              </w:rPr>
              <w:t>40周岁及以下</w:t>
            </w:r>
          </w:p>
        </w:tc>
        <w:tc>
          <w:tcPr>
            <w:tcW w:w="49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right="0" w:rightChars="0"/>
              <w:jc w:val="left"/>
              <w:textAlignment w:val="auto"/>
              <w:rPr>
                <w:rFonts w:hint="eastAsia" w:ascii="仿宋" w:hAnsi="仿宋" w:eastAsia="仿宋" w:cs="仿宋"/>
                <w:bCs/>
                <w:color w:val="auto"/>
                <w:sz w:val="22"/>
                <w:szCs w:val="22"/>
                <w:highlight w:val="none"/>
                <w:lang w:val="en-US" w:eastAsia="zh-CN"/>
              </w:rPr>
            </w:pPr>
            <w:r>
              <w:rPr>
                <w:rFonts w:hint="eastAsia" w:ascii="仿宋" w:hAnsi="仿宋" w:eastAsia="仿宋" w:cs="仿宋"/>
                <w:bCs/>
                <w:color w:val="auto"/>
                <w:sz w:val="22"/>
                <w:szCs w:val="22"/>
                <w:highlight w:val="none"/>
                <w:lang w:val="en-US" w:eastAsia="zh-CN"/>
              </w:rPr>
              <w:t>1.具备有5年以上工程管理、管线迁改工作经验的学历可放宽至非全日制本科。</w:t>
            </w:r>
            <w:r>
              <w:rPr>
                <w:rFonts w:hint="eastAsia" w:ascii="仿宋" w:hAnsi="仿宋" w:eastAsia="仿宋" w:cs="仿宋"/>
                <w:bCs/>
                <w:color w:val="auto"/>
                <w:sz w:val="22"/>
                <w:szCs w:val="22"/>
                <w:highlight w:val="none"/>
                <w:lang w:val="en-US" w:eastAsia="zh-CN"/>
              </w:rPr>
              <w:br w:type="textWrapping"/>
            </w:r>
            <w:r>
              <w:rPr>
                <w:rFonts w:hint="eastAsia" w:ascii="仿宋" w:hAnsi="仿宋" w:eastAsia="仿宋" w:cs="仿宋"/>
                <w:bCs/>
                <w:color w:val="auto"/>
                <w:sz w:val="22"/>
                <w:szCs w:val="22"/>
                <w:highlight w:val="none"/>
                <w:lang w:val="en-US" w:eastAsia="zh-CN"/>
              </w:rPr>
              <w:t>2.同等分数下985、211学校全日制本科毕业的优先。</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3.2024年应届全日制本科毕业生可以报考，但须于2024年7月前取得相应的学历学位证书。</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left"/>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需提供岗位工作证明（应届生除外）</w:t>
            </w:r>
          </w:p>
        </w:tc>
      </w:tr>
      <w:tr>
        <w:trPr>
          <w:trHeight w:val="1285"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6</w:t>
            </w:r>
          </w:p>
        </w:tc>
        <w:tc>
          <w:tcPr>
            <w:tcW w:w="9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工程安全质量管理员</w:t>
            </w:r>
          </w:p>
        </w:tc>
        <w:tc>
          <w:tcPr>
            <w:tcW w:w="75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集团下属子公司</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3</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sz w:val="22"/>
                <w:szCs w:val="22"/>
                <w:lang w:val="en-US" w:eastAsia="zh-CN"/>
              </w:rPr>
              <w:t>全日制</w:t>
            </w:r>
            <w:r>
              <w:rPr>
                <w:rFonts w:hint="eastAsia" w:ascii="仿宋" w:hAnsi="仿宋" w:eastAsia="仿宋" w:cs="仿宋"/>
                <w:b w:val="0"/>
                <w:bCs w:val="0"/>
                <w:color w:val="auto"/>
                <w:kern w:val="0"/>
                <w:sz w:val="22"/>
                <w:szCs w:val="22"/>
                <w:highlight w:val="none"/>
                <w:lang w:val="en-US" w:eastAsia="zh-CN" w:bidi="ar-SA"/>
              </w:rPr>
              <w:t>本科及以上</w:t>
            </w:r>
          </w:p>
        </w:tc>
        <w:tc>
          <w:tcPr>
            <w:tcW w:w="45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left"/>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建筑学、建筑工程、工程管理、</w:t>
            </w:r>
            <w:r>
              <w:rPr>
                <w:rFonts w:hint="eastAsia" w:ascii="仿宋" w:hAnsi="仿宋" w:eastAsia="仿宋" w:cs="仿宋"/>
                <w:b w:val="0"/>
                <w:bCs w:val="0"/>
                <w:color w:val="auto"/>
                <w:kern w:val="0"/>
                <w:sz w:val="22"/>
                <w:szCs w:val="22"/>
                <w:highlight w:val="none"/>
              </w:rPr>
              <w:t>道路与桥梁工程、市政工程</w:t>
            </w:r>
            <w:r>
              <w:rPr>
                <w:rFonts w:hint="eastAsia" w:ascii="仿宋" w:hAnsi="仿宋" w:eastAsia="仿宋" w:cs="仿宋"/>
                <w:b w:val="0"/>
                <w:bCs w:val="0"/>
                <w:color w:val="auto"/>
                <w:kern w:val="0"/>
                <w:sz w:val="22"/>
                <w:szCs w:val="22"/>
                <w:highlight w:val="none"/>
                <w:lang w:eastAsia="zh-CN"/>
              </w:rPr>
              <w:t>、</w:t>
            </w:r>
            <w:r>
              <w:rPr>
                <w:rFonts w:hint="eastAsia" w:ascii="仿宋" w:hAnsi="仿宋" w:eastAsia="仿宋" w:cs="仿宋"/>
                <w:b w:val="0"/>
                <w:bCs w:val="0"/>
                <w:color w:val="auto"/>
                <w:kern w:val="0"/>
                <w:sz w:val="22"/>
                <w:szCs w:val="22"/>
                <w:highlight w:val="none"/>
                <w:lang w:val="en-US" w:eastAsia="zh-CN" w:bidi="ar-SA"/>
              </w:rPr>
              <w:t>工民建、土木工程、建设工程管理、给排水科学与工程、建筑电气与智能化工程、电力工程与管理、建筑电气与智能化、交通土建工程、交通工程专业</w:t>
            </w:r>
          </w:p>
        </w:tc>
        <w:tc>
          <w:tcPr>
            <w:tcW w:w="6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40周岁及以下</w:t>
            </w:r>
          </w:p>
        </w:tc>
        <w:tc>
          <w:tcPr>
            <w:tcW w:w="4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240" w:lineRule="exact"/>
              <w:ind w:leftChars="0" w:right="0" w:rightChars="0"/>
              <w:jc w:val="left"/>
              <w:textAlignment w:val="center"/>
              <w:rPr>
                <w:rFonts w:hint="eastAsia" w:ascii="仿宋" w:hAnsi="仿宋" w:eastAsia="仿宋" w:cs="仿宋"/>
                <w:b w:val="0"/>
                <w:bCs w:val="0"/>
                <w:color w:val="auto"/>
                <w:kern w:val="0"/>
                <w:sz w:val="22"/>
                <w:szCs w:val="22"/>
                <w:highlight w:val="none"/>
                <w:lang w:val="en-US" w:eastAsia="zh-CN"/>
              </w:rPr>
            </w:pPr>
            <w:r>
              <w:rPr>
                <w:rFonts w:hint="eastAsia" w:ascii="仿宋" w:hAnsi="仿宋" w:eastAsia="仿宋" w:cs="仿宋"/>
                <w:b w:val="0"/>
                <w:bCs w:val="0"/>
                <w:color w:val="auto"/>
                <w:kern w:val="0"/>
                <w:sz w:val="22"/>
                <w:szCs w:val="22"/>
                <w:highlight w:val="none"/>
                <w:lang w:val="en-US" w:eastAsia="zh-CN" w:bidi="ar-SA"/>
              </w:rPr>
              <w:t>1.具有3年以上工程安全管理经验并具有</w:t>
            </w:r>
            <w:r>
              <w:rPr>
                <w:rFonts w:hint="eastAsia" w:ascii="仿宋" w:hAnsi="仿宋" w:eastAsia="仿宋" w:cs="仿宋"/>
                <w:i w:val="0"/>
                <w:color w:val="000000"/>
                <w:kern w:val="0"/>
                <w:sz w:val="22"/>
                <w:szCs w:val="22"/>
                <w:u w:val="none"/>
                <w:lang w:val="en-US" w:eastAsia="zh-CN" w:bidi="ar"/>
              </w:rPr>
              <w:t>工程师及以上职称或安全生产三类人员考核C证书或安全员岗位资格证书的</w:t>
            </w:r>
            <w:r>
              <w:rPr>
                <w:rFonts w:hint="eastAsia" w:ascii="仿宋" w:hAnsi="仿宋" w:eastAsia="仿宋" w:cs="仿宋"/>
                <w:b w:val="0"/>
                <w:bCs w:val="0"/>
                <w:color w:val="auto"/>
                <w:kern w:val="0"/>
                <w:sz w:val="22"/>
                <w:szCs w:val="22"/>
                <w:highlight w:val="none"/>
                <w:lang w:val="en-US" w:eastAsia="zh-CN"/>
              </w:rPr>
              <w:t>学历可</w:t>
            </w:r>
            <w:r>
              <w:rPr>
                <w:rFonts w:hint="eastAsia" w:ascii="仿宋" w:hAnsi="仿宋" w:eastAsia="仿宋" w:cs="仿宋"/>
                <w:bCs/>
                <w:color w:val="auto"/>
                <w:sz w:val="22"/>
                <w:szCs w:val="22"/>
                <w:highlight w:val="none"/>
                <w:lang w:val="en-US" w:eastAsia="zh-CN"/>
              </w:rPr>
              <w:t>放宽至非全日制本科</w:t>
            </w:r>
            <w:r>
              <w:rPr>
                <w:rFonts w:hint="eastAsia" w:ascii="仿宋" w:hAnsi="仿宋" w:eastAsia="仿宋" w:cs="仿宋"/>
                <w:i w:val="0"/>
                <w:color w:val="000000"/>
                <w:kern w:val="0"/>
                <w:sz w:val="22"/>
                <w:szCs w:val="22"/>
                <w:u w:val="none"/>
                <w:lang w:val="en-US" w:eastAsia="zh-CN" w:bidi="ar"/>
              </w:rPr>
              <w:t xml:space="preserve">。       </w:t>
            </w:r>
            <w:r>
              <w:rPr>
                <w:rFonts w:hint="eastAsia" w:ascii="仿宋" w:hAnsi="仿宋" w:eastAsia="仿宋" w:cs="仿宋"/>
                <w:b w:val="0"/>
                <w:bCs w:val="0"/>
                <w:color w:val="auto"/>
                <w:kern w:val="0"/>
                <w:sz w:val="22"/>
                <w:szCs w:val="22"/>
                <w:highlight w:val="none"/>
                <w:lang w:val="en-US" w:eastAsia="zh-CN"/>
              </w:rPr>
              <w:t xml:space="preserve"> </w:t>
            </w:r>
          </w:p>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left"/>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2.同等分数下985、211学校全日制本科毕业的优先。</w:t>
            </w:r>
          </w:p>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left"/>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3.2024年应届全日制本科毕业生可以报考，但须于2024年7月前取得相应的学历学位证书。</w:t>
            </w:r>
          </w:p>
        </w:tc>
        <w:tc>
          <w:tcPr>
            <w:tcW w:w="11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left"/>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需提供岗位工作证明（应届生除外）</w:t>
            </w:r>
          </w:p>
        </w:tc>
      </w:tr>
      <w:tr>
        <w:tblPrEx>
          <w:tblCellMar>
            <w:top w:w="0" w:type="dxa"/>
            <w:left w:w="108" w:type="dxa"/>
            <w:bottom w:w="0" w:type="dxa"/>
            <w:right w:w="108" w:type="dxa"/>
          </w:tblCellMar>
        </w:tblPrEx>
        <w:trPr>
          <w:trHeight w:val="1285"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9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安装</w:t>
            </w:r>
          </w:p>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业主</w:t>
            </w:r>
          </w:p>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代表</w:t>
            </w:r>
          </w:p>
        </w:tc>
        <w:tc>
          <w:tcPr>
            <w:tcW w:w="75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杭绍城际投资公司</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2</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sz w:val="22"/>
                <w:szCs w:val="22"/>
                <w:lang w:val="en-US" w:eastAsia="zh-CN"/>
              </w:rPr>
              <w:t>全日制</w:t>
            </w:r>
            <w:r>
              <w:rPr>
                <w:rFonts w:hint="eastAsia" w:ascii="仿宋" w:hAnsi="仿宋" w:eastAsia="仿宋" w:cs="仿宋"/>
                <w:b w:val="0"/>
                <w:bCs w:val="0"/>
                <w:color w:val="auto"/>
                <w:kern w:val="0"/>
                <w:sz w:val="22"/>
                <w:szCs w:val="22"/>
                <w:highlight w:val="none"/>
                <w:lang w:val="en-US" w:eastAsia="zh-CN" w:bidi="ar-SA"/>
              </w:rPr>
              <w:t>本科及以上</w:t>
            </w:r>
          </w:p>
        </w:tc>
        <w:tc>
          <w:tcPr>
            <w:tcW w:w="45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left"/>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给排水科学与工程、建筑电气与智能化工程、电力工程与管理、建筑电气与智能化、交通土建工程、交通工程、道路与桥梁工程、建设工程管理、电气工程及其自动化、管理工程专业</w:t>
            </w:r>
          </w:p>
        </w:tc>
        <w:tc>
          <w:tcPr>
            <w:tcW w:w="6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40周岁及以下</w:t>
            </w:r>
          </w:p>
        </w:tc>
        <w:tc>
          <w:tcPr>
            <w:tcW w:w="4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left"/>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1.具备3年以上安装水、电、暖、气、设备等方面的现场施工管理经验。</w:t>
            </w:r>
          </w:p>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left"/>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2.具有10年以上安装水、电、暖、气、设备等方面的现场施工管理经验可放宽至45周岁。</w:t>
            </w:r>
          </w:p>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left"/>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3.同等分数下985、211学校全日制本科毕业的优先。</w:t>
            </w:r>
          </w:p>
        </w:tc>
        <w:tc>
          <w:tcPr>
            <w:tcW w:w="11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left"/>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需提供岗位工作证明</w:t>
            </w:r>
          </w:p>
        </w:tc>
      </w:tr>
      <w:tr>
        <w:trPr>
          <w:trHeight w:val="1799"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9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40" w:lineRule="exact"/>
              <w:jc w:val="center"/>
              <w:textAlignment w:val="center"/>
              <w:rPr>
                <w:rFonts w:hint="eastAsia" w:ascii="仿宋" w:hAnsi="仿宋" w:eastAsia="仿宋" w:cs="仿宋"/>
                <w:b w:val="0"/>
                <w:bCs w:val="0"/>
                <w:color w:val="auto"/>
                <w:kern w:val="0"/>
                <w:sz w:val="22"/>
                <w:szCs w:val="22"/>
                <w:highlight w:val="none"/>
              </w:rPr>
            </w:pPr>
            <w:r>
              <w:rPr>
                <w:rFonts w:hint="eastAsia" w:ascii="仿宋" w:hAnsi="仿宋" w:eastAsia="仿宋" w:cs="仿宋"/>
                <w:b w:val="0"/>
                <w:bCs w:val="0"/>
                <w:color w:val="auto"/>
                <w:kern w:val="0"/>
                <w:sz w:val="22"/>
                <w:szCs w:val="22"/>
                <w:highlight w:val="none"/>
                <w:lang w:eastAsia="zh-CN"/>
              </w:rPr>
              <w:t>工程管理（</w:t>
            </w:r>
            <w:r>
              <w:rPr>
                <w:rFonts w:hint="eastAsia" w:ascii="仿宋" w:hAnsi="仿宋" w:eastAsia="仿宋" w:cs="仿宋"/>
                <w:b w:val="0"/>
                <w:bCs w:val="0"/>
                <w:color w:val="auto"/>
                <w:kern w:val="0"/>
                <w:sz w:val="22"/>
                <w:szCs w:val="22"/>
                <w:highlight w:val="none"/>
              </w:rPr>
              <w:t>业主</w:t>
            </w:r>
          </w:p>
          <w:p>
            <w:pPr>
              <w:keepNext w:val="0"/>
              <w:keepLines w:val="0"/>
              <w:pageBreakBefore w:val="0"/>
              <w:widowControl/>
              <w:kinsoku/>
              <w:wordWrap/>
              <w:overflowPunct/>
              <w:topLinePunct w:val="0"/>
              <w:autoSpaceDN/>
              <w:bidi w:val="0"/>
              <w:adjustRightInd/>
              <w:snapToGrid/>
              <w:spacing w:line="240" w:lineRule="exact"/>
              <w:jc w:val="center"/>
              <w:textAlignment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rPr>
              <w:t>代表</w:t>
            </w:r>
            <w:r>
              <w:rPr>
                <w:rFonts w:hint="eastAsia" w:ascii="仿宋" w:hAnsi="仿宋" w:eastAsia="仿宋" w:cs="仿宋"/>
                <w:b w:val="0"/>
                <w:bCs w:val="0"/>
                <w:color w:val="auto"/>
                <w:kern w:val="0"/>
                <w:sz w:val="22"/>
                <w:szCs w:val="22"/>
                <w:highlight w:val="none"/>
                <w:lang w:eastAsia="zh-CN"/>
              </w:rPr>
              <w:t>）</w:t>
            </w:r>
          </w:p>
        </w:tc>
        <w:tc>
          <w:tcPr>
            <w:tcW w:w="75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40" w:lineRule="exact"/>
              <w:jc w:val="center"/>
              <w:textAlignment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集团及下属子公司</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40" w:lineRule="exact"/>
              <w:jc w:val="center"/>
              <w:textAlignment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5</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40" w:lineRule="exact"/>
              <w:jc w:val="center"/>
              <w:textAlignment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sz w:val="22"/>
                <w:szCs w:val="22"/>
                <w:lang w:val="en-US" w:eastAsia="zh-CN"/>
              </w:rPr>
              <w:t>全日制本科</w:t>
            </w:r>
            <w:r>
              <w:rPr>
                <w:rFonts w:hint="eastAsia" w:ascii="仿宋" w:hAnsi="仿宋" w:eastAsia="仿宋" w:cs="仿宋"/>
                <w:b w:val="0"/>
                <w:bCs w:val="0"/>
                <w:color w:val="auto"/>
                <w:kern w:val="0"/>
                <w:sz w:val="22"/>
                <w:szCs w:val="22"/>
                <w:highlight w:val="none"/>
              </w:rPr>
              <w:t>及以上</w:t>
            </w:r>
          </w:p>
        </w:tc>
        <w:tc>
          <w:tcPr>
            <w:tcW w:w="45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40" w:lineRule="exact"/>
              <w:jc w:val="left"/>
              <w:textAlignment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rPr>
              <w:t>土木工程</w:t>
            </w:r>
            <w:r>
              <w:rPr>
                <w:rFonts w:hint="eastAsia" w:ascii="仿宋" w:hAnsi="仿宋" w:eastAsia="仿宋" w:cs="仿宋"/>
                <w:b w:val="0"/>
                <w:bCs w:val="0"/>
                <w:color w:val="auto"/>
                <w:kern w:val="0"/>
                <w:sz w:val="22"/>
                <w:szCs w:val="22"/>
                <w:highlight w:val="none"/>
                <w:lang w:eastAsia="zh-CN"/>
              </w:rPr>
              <w:t>、</w:t>
            </w:r>
            <w:r>
              <w:rPr>
                <w:rFonts w:hint="eastAsia" w:ascii="仿宋" w:hAnsi="仿宋" w:eastAsia="仿宋" w:cs="仿宋"/>
                <w:b w:val="0"/>
                <w:bCs w:val="0"/>
                <w:color w:val="auto"/>
                <w:kern w:val="0"/>
                <w:sz w:val="22"/>
                <w:szCs w:val="22"/>
                <w:highlight w:val="none"/>
              </w:rPr>
              <w:t>道路与桥梁工程、市政工程</w:t>
            </w:r>
            <w:r>
              <w:rPr>
                <w:rFonts w:hint="eastAsia" w:ascii="仿宋" w:hAnsi="仿宋" w:eastAsia="仿宋" w:cs="仿宋"/>
                <w:b w:val="0"/>
                <w:bCs w:val="0"/>
                <w:color w:val="auto"/>
                <w:kern w:val="0"/>
                <w:sz w:val="22"/>
                <w:szCs w:val="22"/>
                <w:highlight w:val="none"/>
                <w:lang w:eastAsia="zh-CN"/>
              </w:rPr>
              <w:t>、工民建、建筑工程、交通土建工程、交通工程、工程管理、环境设计、建设工程管理、环境艺术设计、道路与桥梁工程、管理工程、</w:t>
            </w:r>
            <w:r>
              <w:rPr>
                <w:rFonts w:hint="eastAsia" w:ascii="仿宋" w:hAnsi="仿宋" w:eastAsia="仿宋" w:cs="仿宋"/>
                <w:b w:val="0"/>
                <w:bCs w:val="0"/>
                <w:color w:val="auto"/>
                <w:kern w:val="0"/>
                <w:sz w:val="22"/>
                <w:szCs w:val="22"/>
                <w:highlight w:val="none"/>
                <w:lang w:val="en-US" w:eastAsia="zh-CN" w:bidi="ar-SA"/>
              </w:rPr>
              <w:t>建筑学、建筑工程</w:t>
            </w:r>
            <w:r>
              <w:rPr>
                <w:rFonts w:hint="eastAsia" w:ascii="仿宋" w:hAnsi="仿宋" w:eastAsia="仿宋" w:cs="仿宋"/>
                <w:b w:val="0"/>
                <w:bCs w:val="0"/>
                <w:color w:val="auto"/>
                <w:kern w:val="0"/>
                <w:sz w:val="22"/>
                <w:szCs w:val="22"/>
                <w:highlight w:val="none"/>
                <w:lang w:eastAsia="zh-CN"/>
              </w:rPr>
              <w:t>专业</w:t>
            </w:r>
          </w:p>
        </w:tc>
        <w:tc>
          <w:tcPr>
            <w:tcW w:w="6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N/>
              <w:bidi w:val="0"/>
              <w:adjustRightInd/>
              <w:snapToGrid/>
              <w:spacing w:line="240" w:lineRule="exact"/>
              <w:jc w:val="center"/>
              <w:textAlignment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rPr>
              <w:t>40</w:t>
            </w:r>
            <w:r>
              <w:rPr>
                <w:rFonts w:hint="eastAsia" w:ascii="仿宋" w:hAnsi="仿宋" w:eastAsia="仿宋" w:cs="仿宋"/>
                <w:b w:val="0"/>
                <w:bCs w:val="0"/>
                <w:color w:val="auto"/>
                <w:kern w:val="0"/>
                <w:sz w:val="22"/>
                <w:szCs w:val="22"/>
                <w:highlight w:val="none"/>
              </w:rPr>
              <w:t>周岁及以下</w:t>
            </w:r>
          </w:p>
        </w:tc>
        <w:tc>
          <w:tcPr>
            <w:tcW w:w="4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1.具有5年及以上国企施工企业或甲方工程管理相关工作经验学历放宽至非全日制本科。</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2.同等分数下具有工程类相关专业中级及以上职称或二级建造师及以上资格证书或985、211学校全日制本科毕业的优先。</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sz w:val="22"/>
                <w:szCs w:val="22"/>
                <w:lang w:val="en-US" w:eastAsia="zh-CN"/>
              </w:rPr>
            </w:pPr>
            <w:r>
              <w:rPr>
                <w:rFonts w:hint="eastAsia" w:ascii="仿宋" w:hAnsi="仿宋" w:eastAsia="仿宋" w:cs="仿宋"/>
                <w:b w:val="0"/>
                <w:bCs w:val="0"/>
                <w:color w:val="auto"/>
                <w:kern w:val="0"/>
                <w:sz w:val="22"/>
                <w:szCs w:val="22"/>
                <w:highlight w:val="none"/>
                <w:lang w:val="en-US" w:eastAsia="zh-CN" w:bidi="ar-SA"/>
              </w:rPr>
              <w:t>3.2024年应届全日制本科毕业生可以报考，但须于2024年7月前取得相应的学历学位证书。</w:t>
            </w:r>
          </w:p>
        </w:tc>
        <w:tc>
          <w:tcPr>
            <w:tcW w:w="11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N/>
              <w:bidi w:val="0"/>
              <w:adjustRightInd/>
              <w:snapToGrid/>
              <w:spacing w:line="240" w:lineRule="exact"/>
              <w:jc w:val="left"/>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需提供岗位工作证明（应届生除外）</w:t>
            </w:r>
          </w:p>
        </w:tc>
      </w:tr>
      <w:tr>
        <w:tblPrEx>
          <w:tblCellMar>
            <w:top w:w="0" w:type="dxa"/>
            <w:left w:w="108" w:type="dxa"/>
            <w:bottom w:w="0" w:type="dxa"/>
            <w:right w:w="108" w:type="dxa"/>
          </w:tblCellMar>
        </w:tblPrEx>
        <w:trPr>
          <w:trHeight w:val="1012"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9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景观工程师</w:t>
            </w:r>
          </w:p>
        </w:tc>
        <w:tc>
          <w:tcPr>
            <w:tcW w:w="75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临空建设开发公司</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1</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sz w:val="22"/>
                <w:szCs w:val="22"/>
                <w:lang w:val="en-US" w:eastAsia="zh-CN"/>
              </w:rPr>
              <w:t>全日制</w:t>
            </w:r>
            <w:r>
              <w:rPr>
                <w:rFonts w:hint="eastAsia" w:ascii="仿宋" w:hAnsi="仿宋" w:eastAsia="仿宋" w:cs="仿宋"/>
                <w:b w:val="0"/>
                <w:bCs w:val="0"/>
                <w:color w:val="auto"/>
                <w:kern w:val="0"/>
                <w:sz w:val="22"/>
                <w:szCs w:val="22"/>
                <w:highlight w:val="none"/>
                <w:lang w:val="en-US" w:eastAsia="zh-CN" w:bidi="ar-SA"/>
              </w:rPr>
              <w:t>本科及以上</w:t>
            </w:r>
          </w:p>
        </w:tc>
        <w:tc>
          <w:tcPr>
            <w:tcW w:w="45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rPr>
              <w:t>土木工程</w:t>
            </w:r>
            <w:r>
              <w:rPr>
                <w:rFonts w:hint="eastAsia" w:ascii="仿宋" w:hAnsi="仿宋" w:eastAsia="仿宋" w:cs="仿宋"/>
                <w:b w:val="0"/>
                <w:bCs w:val="0"/>
                <w:color w:val="auto"/>
                <w:kern w:val="0"/>
                <w:sz w:val="22"/>
                <w:szCs w:val="22"/>
                <w:highlight w:val="none"/>
                <w:lang w:eastAsia="zh-CN"/>
              </w:rPr>
              <w:t>、工民建、建筑工程、</w:t>
            </w:r>
            <w:r>
              <w:rPr>
                <w:rFonts w:hint="eastAsia" w:ascii="仿宋" w:hAnsi="仿宋" w:eastAsia="仿宋" w:cs="仿宋"/>
                <w:b w:val="0"/>
                <w:bCs w:val="0"/>
                <w:color w:val="auto"/>
                <w:kern w:val="0"/>
                <w:sz w:val="22"/>
                <w:szCs w:val="22"/>
                <w:highlight w:val="none"/>
                <w:lang w:val="en-US" w:eastAsia="zh-CN" w:bidi="ar-SA"/>
              </w:rPr>
              <w:t>建筑学、园林、林学、草坪科学与工程、</w:t>
            </w:r>
            <w:r>
              <w:rPr>
                <w:rFonts w:hint="eastAsia" w:ascii="仿宋" w:hAnsi="仿宋" w:eastAsia="仿宋" w:cs="仿宋"/>
                <w:i w:val="0"/>
                <w:iCs w:val="0"/>
                <w:color w:val="000000"/>
                <w:kern w:val="0"/>
                <w:sz w:val="22"/>
                <w:szCs w:val="22"/>
                <w:u w:val="none"/>
                <w:lang w:val="en-US" w:eastAsia="zh-CN" w:bidi="ar"/>
              </w:rPr>
              <w:t>风景园林、园林景观工程、景观学、景观设计、景观建筑设计、</w:t>
            </w:r>
            <w:r>
              <w:rPr>
                <w:rFonts w:hint="eastAsia" w:ascii="仿宋" w:hAnsi="仿宋" w:eastAsia="仿宋" w:cs="仿宋"/>
                <w:b w:val="0"/>
                <w:bCs w:val="0"/>
                <w:color w:val="auto"/>
                <w:kern w:val="0"/>
                <w:sz w:val="22"/>
                <w:szCs w:val="22"/>
                <w:highlight w:val="none"/>
                <w:lang w:eastAsia="zh-CN"/>
              </w:rPr>
              <w:t>环境设计</w:t>
            </w:r>
            <w:r>
              <w:rPr>
                <w:rFonts w:hint="eastAsia" w:ascii="仿宋" w:hAnsi="仿宋" w:eastAsia="仿宋" w:cs="仿宋"/>
                <w:b w:val="0"/>
                <w:bCs w:val="0"/>
                <w:color w:val="auto"/>
                <w:kern w:val="0"/>
                <w:sz w:val="22"/>
                <w:szCs w:val="22"/>
                <w:highlight w:val="none"/>
                <w:lang w:val="en-US" w:eastAsia="zh-CN" w:bidi="ar-SA"/>
              </w:rPr>
              <w:t>专业</w:t>
            </w:r>
          </w:p>
        </w:tc>
        <w:tc>
          <w:tcPr>
            <w:tcW w:w="6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40周岁及以下</w:t>
            </w:r>
          </w:p>
        </w:tc>
        <w:tc>
          <w:tcPr>
            <w:tcW w:w="4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具有3年以上园林绿化管理工作经验并具有</w:t>
            </w:r>
            <w:r>
              <w:rPr>
                <w:rFonts w:hint="eastAsia" w:ascii="仿宋" w:hAnsi="仿宋" w:eastAsia="仿宋" w:cs="仿宋"/>
                <w:bCs/>
                <w:color w:val="auto"/>
                <w:sz w:val="22"/>
                <w:szCs w:val="22"/>
                <w:highlight w:val="none"/>
                <w:lang w:val="en-US" w:eastAsia="zh-CN"/>
              </w:rPr>
              <w:t>二级建造师及以上执业资格证书。</w:t>
            </w:r>
          </w:p>
        </w:tc>
        <w:tc>
          <w:tcPr>
            <w:tcW w:w="11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N/>
              <w:bidi w:val="0"/>
              <w:adjustRightInd/>
              <w:snapToGrid/>
              <w:spacing w:before="0" w:beforeAutospacing="0" w:after="0" w:afterAutospacing="0" w:line="240" w:lineRule="exact"/>
              <w:ind w:left="0" w:leftChars="0" w:right="0" w:rightChars="0"/>
              <w:jc w:val="left"/>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需提供岗位工作证明</w:t>
            </w:r>
          </w:p>
        </w:tc>
      </w:tr>
      <w:tr>
        <w:trPr>
          <w:trHeight w:val="1790"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10</w:t>
            </w:r>
          </w:p>
        </w:tc>
        <w:tc>
          <w:tcPr>
            <w:tcW w:w="9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eastAsia="zh-CN" w:bidi="ar-SA"/>
              </w:rPr>
            </w:pPr>
            <w:r>
              <w:rPr>
                <w:rFonts w:hint="eastAsia" w:ascii="仿宋" w:hAnsi="仿宋" w:eastAsia="仿宋" w:cs="仿宋"/>
                <w:b w:val="0"/>
                <w:bCs w:val="0"/>
                <w:color w:val="auto"/>
                <w:kern w:val="0"/>
                <w:sz w:val="22"/>
                <w:szCs w:val="22"/>
                <w:highlight w:val="none"/>
                <w:lang w:eastAsia="zh-CN" w:bidi="ar-SA"/>
              </w:rPr>
              <w:t>试验员</w:t>
            </w:r>
          </w:p>
        </w:tc>
        <w:tc>
          <w:tcPr>
            <w:tcW w:w="75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临空新型建材公司</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eastAsia="zh-CN" w:bidi="ar-SA"/>
              </w:rPr>
            </w:pPr>
            <w:r>
              <w:rPr>
                <w:rFonts w:hint="eastAsia" w:ascii="仿宋" w:hAnsi="仿宋" w:eastAsia="仿宋" w:cs="仿宋"/>
                <w:b w:val="0"/>
                <w:bCs w:val="0"/>
                <w:color w:val="auto"/>
                <w:kern w:val="0"/>
                <w:sz w:val="22"/>
                <w:szCs w:val="22"/>
                <w:highlight w:val="none"/>
                <w:lang w:eastAsia="zh-CN" w:bidi="ar-SA"/>
              </w:rPr>
              <w:t>1</w:t>
            </w: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right="0"/>
              <w:jc w:val="center"/>
              <w:rPr>
                <w:rFonts w:hint="eastAsia" w:ascii="仿宋" w:hAnsi="仿宋" w:eastAsia="仿宋" w:cs="仿宋"/>
                <w:b w:val="0"/>
                <w:bCs w:val="0"/>
                <w:color w:val="auto"/>
                <w:kern w:val="0"/>
                <w:sz w:val="22"/>
                <w:szCs w:val="22"/>
                <w:highlight w:val="none"/>
                <w:lang w:eastAsia="zh-CN" w:bidi="ar-SA"/>
              </w:rPr>
            </w:pPr>
            <w:r>
              <w:rPr>
                <w:rFonts w:hint="eastAsia" w:ascii="仿宋" w:hAnsi="仿宋" w:eastAsia="仿宋" w:cs="仿宋"/>
                <w:b w:val="0"/>
                <w:bCs w:val="0"/>
                <w:color w:val="auto"/>
                <w:kern w:val="0"/>
                <w:sz w:val="22"/>
                <w:szCs w:val="22"/>
                <w:highlight w:val="none"/>
                <w:lang w:eastAsia="zh-CN" w:bidi="ar-SA"/>
              </w:rPr>
              <w:t>大专及以上</w:t>
            </w:r>
          </w:p>
        </w:tc>
        <w:tc>
          <w:tcPr>
            <w:tcW w:w="45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right="0"/>
              <w:jc w:val="left"/>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kern w:val="0"/>
                <w:sz w:val="22"/>
                <w:szCs w:val="22"/>
                <w:lang w:val="en-US" w:eastAsia="zh-CN" w:bidi="ar"/>
              </w:rPr>
              <w:t>工程管理、房地产开发与建设管理、建设与房地产管理、土木工程、工民建、建筑工程、建筑学、智能建造工程、建筑环境与设备工程、建筑设施智能技术、智慧建筑与建造、道路与桥梁工程、建筑学、市政工程、建筑工程、交通土建工程、交通工程、工程管理、建</w:t>
            </w:r>
            <w:r>
              <w:rPr>
                <w:rFonts w:hint="eastAsia" w:ascii="仿宋" w:hAnsi="仿宋" w:eastAsia="仿宋" w:cs="仿宋"/>
                <w:b w:val="0"/>
                <w:kern w:val="0"/>
                <w:sz w:val="22"/>
                <w:szCs w:val="22"/>
                <w:lang w:eastAsia="zh-CN" w:bidi="ar"/>
              </w:rPr>
              <w:t>筑</w:t>
            </w:r>
            <w:r>
              <w:rPr>
                <w:rFonts w:hint="eastAsia" w:ascii="仿宋" w:hAnsi="仿宋" w:eastAsia="仿宋" w:cs="仿宋"/>
                <w:b w:val="0"/>
                <w:kern w:val="0"/>
                <w:sz w:val="22"/>
                <w:szCs w:val="22"/>
                <w:lang w:val="en-US" w:eastAsia="zh-CN" w:bidi="ar"/>
              </w:rPr>
              <w:t>工程管理、管理工程专业</w:t>
            </w:r>
          </w:p>
        </w:tc>
        <w:tc>
          <w:tcPr>
            <w:tcW w:w="6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eastAsia="zh-CN" w:bidi="ar-SA"/>
              </w:rPr>
              <w:t>40</w:t>
            </w:r>
            <w:r>
              <w:rPr>
                <w:rFonts w:hint="eastAsia" w:ascii="仿宋" w:hAnsi="仿宋" w:eastAsia="仿宋" w:cs="仿宋"/>
                <w:b w:val="0"/>
                <w:bCs w:val="0"/>
                <w:color w:val="auto"/>
                <w:kern w:val="0"/>
                <w:sz w:val="22"/>
                <w:szCs w:val="22"/>
                <w:highlight w:val="none"/>
                <w:lang w:val="en-US" w:eastAsia="zh-CN" w:bidi="ar-SA"/>
              </w:rPr>
              <w:t>周岁及以下</w:t>
            </w:r>
          </w:p>
        </w:tc>
        <w:tc>
          <w:tcPr>
            <w:tcW w:w="4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numPr>
                <w:ilvl w:val="0"/>
                <w:numId w:val="0"/>
              </w:numPr>
              <w:suppressLineNumbers w:val="0"/>
              <w:kinsoku/>
              <w:wordWrap/>
              <w:overflowPunct/>
              <w:topLinePunct w:val="0"/>
              <w:autoSpaceDE w:val="0"/>
              <w:autoSpaceDN/>
              <w:bidi w:val="0"/>
              <w:adjustRightInd/>
              <w:snapToGrid/>
              <w:spacing w:before="0" w:beforeAutospacing="0" w:after="0" w:afterAutospacing="0" w:line="240" w:lineRule="exact"/>
              <w:ind w:right="0" w:rightChars="0"/>
              <w:jc w:val="left"/>
              <w:rPr>
                <w:rFonts w:hint="eastAsia" w:ascii="仿宋" w:hAnsi="仿宋" w:eastAsia="仿宋" w:cs="仿宋"/>
                <w:b w:val="0"/>
                <w:bCs w:val="0"/>
                <w:color w:val="auto"/>
                <w:kern w:val="0"/>
                <w:sz w:val="22"/>
                <w:szCs w:val="22"/>
                <w:highlight w:val="none"/>
                <w:lang w:eastAsia="zh-CN" w:bidi="ar-SA"/>
              </w:rPr>
            </w:pPr>
            <w:r>
              <w:rPr>
                <w:rFonts w:hint="eastAsia" w:ascii="仿宋" w:hAnsi="仿宋" w:eastAsia="仿宋" w:cs="仿宋"/>
                <w:b w:val="0"/>
                <w:bCs w:val="0"/>
                <w:color w:val="auto"/>
                <w:kern w:val="0"/>
                <w:sz w:val="22"/>
                <w:szCs w:val="22"/>
                <w:highlight w:val="none"/>
                <w:lang w:eastAsia="zh-CN" w:bidi="ar-SA"/>
              </w:rPr>
              <w:t>具有2年以上的混凝土试验室工作经验并具有相关单位颁发的混凝土上岗证。</w:t>
            </w:r>
          </w:p>
        </w:tc>
        <w:tc>
          <w:tcPr>
            <w:tcW w:w="11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left"/>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需提供岗位工</w:t>
            </w:r>
          </w:p>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left"/>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作证明</w:t>
            </w:r>
          </w:p>
        </w:tc>
      </w:tr>
      <w:tr>
        <w:tblPrEx>
          <w:tblCellMar>
            <w:top w:w="0" w:type="dxa"/>
            <w:left w:w="108" w:type="dxa"/>
            <w:bottom w:w="0" w:type="dxa"/>
            <w:right w:w="108" w:type="dxa"/>
          </w:tblCellMar>
        </w:tblPrEx>
        <w:trPr>
          <w:trHeight w:val="377" w:hRule="atLeast"/>
        </w:trPr>
        <w:tc>
          <w:tcPr>
            <w:tcW w:w="5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highlight w:val="none"/>
                <w:lang w:val="en-US" w:eastAsia="zh-CN"/>
              </w:rPr>
            </w:pPr>
          </w:p>
        </w:tc>
        <w:tc>
          <w:tcPr>
            <w:tcW w:w="96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p>
        </w:tc>
        <w:tc>
          <w:tcPr>
            <w:tcW w:w="75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r>
              <w:rPr>
                <w:rFonts w:hint="eastAsia" w:ascii="仿宋" w:hAnsi="仿宋" w:eastAsia="仿宋" w:cs="仿宋"/>
                <w:b w:val="0"/>
                <w:bCs w:val="0"/>
                <w:color w:val="auto"/>
                <w:kern w:val="0"/>
                <w:sz w:val="22"/>
                <w:szCs w:val="22"/>
                <w:highlight w:val="none"/>
                <w:lang w:val="en-US" w:eastAsia="zh-CN" w:bidi="ar-SA"/>
              </w:rPr>
              <w:t>18</w:t>
            </w:r>
          </w:p>
        </w:tc>
        <w:tc>
          <w:tcPr>
            <w:tcW w:w="7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p>
        </w:tc>
        <w:tc>
          <w:tcPr>
            <w:tcW w:w="7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rPr>
                <w:rFonts w:hint="eastAsia" w:ascii="仿宋" w:hAnsi="仿宋" w:eastAsia="仿宋" w:cs="仿宋"/>
                <w:b w:val="0"/>
                <w:bCs w:val="0"/>
                <w:color w:val="auto"/>
                <w:kern w:val="0"/>
                <w:sz w:val="22"/>
                <w:szCs w:val="22"/>
                <w:highlight w:val="none"/>
                <w:lang w:val="en-US" w:eastAsia="zh-CN" w:bidi="ar-SA"/>
              </w:rPr>
            </w:pPr>
          </w:p>
        </w:tc>
        <w:tc>
          <w:tcPr>
            <w:tcW w:w="45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left"/>
              <w:rPr>
                <w:rFonts w:hint="eastAsia" w:ascii="仿宋" w:hAnsi="仿宋" w:eastAsia="仿宋" w:cs="仿宋"/>
                <w:b w:val="0"/>
                <w:bCs w:val="0"/>
                <w:color w:val="auto"/>
                <w:kern w:val="0"/>
                <w:sz w:val="22"/>
                <w:szCs w:val="22"/>
                <w:highlight w:val="none"/>
                <w:lang w:val="en-US" w:eastAsia="zh-CN" w:bidi="ar-SA"/>
              </w:rPr>
            </w:pPr>
          </w:p>
        </w:tc>
        <w:tc>
          <w:tcPr>
            <w:tcW w:w="69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left"/>
              <w:rPr>
                <w:rFonts w:hint="eastAsia" w:ascii="仿宋" w:hAnsi="仿宋" w:eastAsia="仿宋" w:cs="仿宋"/>
                <w:b w:val="0"/>
                <w:bCs w:val="0"/>
                <w:color w:val="auto"/>
                <w:kern w:val="0"/>
                <w:sz w:val="22"/>
                <w:szCs w:val="22"/>
                <w:highlight w:val="none"/>
                <w:lang w:val="en-US" w:eastAsia="zh-CN" w:bidi="ar-SA"/>
              </w:rPr>
            </w:pPr>
          </w:p>
        </w:tc>
        <w:tc>
          <w:tcPr>
            <w:tcW w:w="49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left"/>
              <w:rPr>
                <w:rFonts w:hint="eastAsia" w:ascii="仿宋" w:hAnsi="仿宋" w:eastAsia="仿宋" w:cs="仿宋"/>
                <w:b w:val="0"/>
                <w:bCs w:val="0"/>
                <w:color w:val="auto"/>
                <w:kern w:val="0"/>
                <w:sz w:val="22"/>
                <w:szCs w:val="22"/>
                <w:highlight w:val="none"/>
                <w:lang w:val="en-US" w:eastAsia="zh-CN" w:bidi="ar-SA"/>
              </w:rPr>
            </w:pPr>
          </w:p>
        </w:tc>
        <w:tc>
          <w:tcPr>
            <w:tcW w:w="11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val="0"/>
              <w:autoSpaceDN/>
              <w:bidi w:val="0"/>
              <w:adjustRightInd/>
              <w:snapToGrid/>
              <w:spacing w:before="0" w:beforeAutospacing="0" w:after="0" w:afterAutospacing="0" w:line="240" w:lineRule="exact"/>
              <w:ind w:left="0" w:right="0"/>
              <w:jc w:val="left"/>
              <w:rPr>
                <w:rFonts w:hint="eastAsia" w:ascii="仿宋" w:hAnsi="仿宋" w:eastAsia="仿宋" w:cs="仿宋"/>
                <w:b w:val="0"/>
                <w:bCs w:val="0"/>
                <w:color w:val="auto"/>
                <w:kern w:val="0"/>
                <w:sz w:val="22"/>
                <w:szCs w:val="22"/>
                <w:highlight w:val="none"/>
                <w:lang w:val="en-US" w:eastAsia="zh-CN" w:bidi="ar-SA"/>
              </w:rPr>
            </w:pPr>
          </w:p>
        </w:tc>
      </w:tr>
    </w:tbl>
    <w:p>
      <w:pPr>
        <w:pStyle w:val="2"/>
        <w:rPr>
          <w:sz w:val="24"/>
          <w:szCs w:val="24"/>
        </w:rPr>
      </w:pPr>
      <w:r>
        <w:rPr>
          <w:rFonts w:hint="eastAsia"/>
          <w:sz w:val="24"/>
          <w:szCs w:val="24"/>
        </w:rPr>
        <w:t>注：专业名称参照《2024年浙江省公务员录用考试专业参考目录》。</w:t>
      </w:r>
    </w:p>
    <w:p/>
    <w:sectPr>
      <w:footerReference r:id="rId3" w:type="default"/>
      <w:pgSz w:w="16838" w:h="11906" w:orient="landscape"/>
      <w:pgMar w:top="1037" w:right="1440" w:bottom="1003" w:left="1383"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042FE"/>
    <w:multiLevelType w:val="singleLevel"/>
    <w:tmpl w:val="417042FE"/>
    <w:lvl w:ilvl="0" w:tentative="0">
      <w:start w:val="1"/>
      <w:numFmt w:val="decimal"/>
      <w:lvlText w:val="%1."/>
      <w:lvlJc w:val="left"/>
      <w:pPr>
        <w:tabs>
          <w:tab w:val="left" w:pos="312"/>
        </w:tabs>
      </w:pPr>
    </w:lvl>
  </w:abstractNum>
  <w:abstractNum w:abstractNumId="1">
    <w:nsid w:val="41FF8DA4"/>
    <w:multiLevelType w:val="singleLevel"/>
    <w:tmpl w:val="41FF8DA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MDYzNzVlNDVhNzU1MjFlNTM1ZDI0ZmY2ZWY2ZWYifQ=="/>
  </w:docVars>
  <w:rsids>
    <w:rsidRoot w:val="52B927F7"/>
    <w:rsid w:val="00052B6D"/>
    <w:rsid w:val="063B53E6"/>
    <w:rsid w:val="0959257F"/>
    <w:rsid w:val="09AB4631"/>
    <w:rsid w:val="0C2F6FB6"/>
    <w:rsid w:val="0EE04ED0"/>
    <w:rsid w:val="10A02A15"/>
    <w:rsid w:val="1495636D"/>
    <w:rsid w:val="178F7340"/>
    <w:rsid w:val="226323ED"/>
    <w:rsid w:val="31BF0A6B"/>
    <w:rsid w:val="345E2859"/>
    <w:rsid w:val="354247F8"/>
    <w:rsid w:val="365E1872"/>
    <w:rsid w:val="390019F4"/>
    <w:rsid w:val="3C1001A0"/>
    <w:rsid w:val="3E9C404D"/>
    <w:rsid w:val="41D53FC1"/>
    <w:rsid w:val="43706133"/>
    <w:rsid w:val="44FF12D7"/>
    <w:rsid w:val="47153174"/>
    <w:rsid w:val="49D316A0"/>
    <w:rsid w:val="49DF2F7D"/>
    <w:rsid w:val="4E131916"/>
    <w:rsid w:val="520D5775"/>
    <w:rsid w:val="527903F5"/>
    <w:rsid w:val="52B927F7"/>
    <w:rsid w:val="5A6627C3"/>
    <w:rsid w:val="61F41846"/>
    <w:rsid w:val="64F8164D"/>
    <w:rsid w:val="68877AF2"/>
    <w:rsid w:val="6BF32B6E"/>
    <w:rsid w:val="7013043E"/>
    <w:rsid w:val="7160084A"/>
    <w:rsid w:val="731A4E85"/>
    <w:rsid w:val="75371D1E"/>
    <w:rsid w:val="773F310C"/>
    <w:rsid w:val="7F1C0E48"/>
    <w:rsid w:val="7FD974D8"/>
    <w:rsid w:val="EDFD66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9"/>
    <w:qFormat/>
    <w:uiPriority w:val="0"/>
    <w:pPr>
      <w:keepNext/>
      <w:keepLines/>
      <w:spacing w:before="340" w:beforeLines="0" w:beforeAutospacing="0" w:after="330" w:afterLines="0" w:afterAutospacing="0" w:line="576" w:lineRule="auto"/>
      <w:outlineLvl w:val="0"/>
    </w:pPr>
    <w:rPr>
      <w:rFonts w:eastAsia="黑体" w:cs="Arial" w:asciiTheme="minorAscii" w:hAnsiTheme="minorAscii"/>
      <w:snapToGrid w:val="0"/>
      <w:color w:val="000000"/>
      <w:kern w:val="44"/>
      <w:sz w:val="32"/>
      <w:szCs w:val="21"/>
    </w:rPr>
  </w:style>
  <w:style w:type="paragraph" w:styleId="2">
    <w:name w:val="heading 2"/>
    <w:basedOn w:val="1"/>
    <w:next w:val="1"/>
    <w:qFormat/>
    <w:uiPriority w:val="99"/>
    <w:pPr>
      <w:keepNext/>
      <w:keepLines/>
      <w:spacing w:before="260" w:after="260" w:line="416" w:lineRule="auto"/>
      <w:outlineLvl w:val="1"/>
    </w:pPr>
    <w:rPr>
      <w:rFonts w:ascii="Calibri Light" w:hAnsi="Calibri Light" w:cs="Calibri Light"/>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character" w:customStyle="1" w:styleId="9">
    <w:name w:val="标题 1 Char"/>
    <w:link w:val="3"/>
    <w:qFormat/>
    <w:uiPriority w:val="0"/>
    <w:rPr>
      <w:rFonts w:eastAsia="黑体" w:cs="Arial" w:asciiTheme="minorAscii" w:hAnsiTheme="minorAscii"/>
      <w:snapToGrid w:val="0"/>
      <w:color w:val="000000"/>
      <w:kern w:val="44"/>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2024-05-24T11:14:00Z</dcterms:created>
  <dc:creator>谢立明</dc:creator>
  <cp:lastModifiedBy>sxrs</cp:lastModifiedBy>
  <cp:lastPrinted>2024-05-30T09:02:00Z</cp:lastPrinted>
  <dcterms:modified xsi:type="dcterms:W3CDTF">2024-05-31T16:16:16Z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B4CF50C5B73E4614A978A21423B0F414_11</vt:lpwstr>
  </property>
</Properties>
</file>